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4F0" w:rsidRPr="009A264B" w:rsidRDefault="008974F0" w:rsidP="00463220">
      <w:pPr>
        <w:tabs>
          <w:tab w:val="left" w:pos="3765"/>
        </w:tabs>
        <w:jc w:val="center"/>
        <w:rPr>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pt;margin-top:11.1pt;width:45.35pt;height:48.45pt;z-index:251658240" fillcolor="window">
            <v:imagedata r:id="rId5" o:title="" cropright="17120f" gain="2147483647f"/>
            <o:lock v:ext="edit" aspectratio="f"/>
            <w10:wrap type="square"/>
          </v:shape>
        </w:pict>
      </w:r>
      <w:r w:rsidRPr="009A264B">
        <w:rPr>
          <w:sz w:val="28"/>
          <w:szCs w:val="28"/>
          <w:lang w:val="uk-UA"/>
        </w:rPr>
        <w:tab/>
      </w:r>
    </w:p>
    <w:p w:rsidR="008974F0" w:rsidRPr="009A264B" w:rsidRDefault="008974F0" w:rsidP="00463220">
      <w:pPr>
        <w:tabs>
          <w:tab w:val="left" w:pos="3765"/>
        </w:tabs>
        <w:jc w:val="center"/>
        <w:rPr>
          <w:sz w:val="28"/>
          <w:szCs w:val="28"/>
          <w:lang w:val="uk-UA"/>
        </w:rPr>
      </w:pPr>
    </w:p>
    <w:p w:rsidR="008974F0" w:rsidRPr="009A264B" w:rsidRDefault="008974F0" w:rsidP="00463220">
      <w:pPr>
        <w:jc w:val="center"/>
        <w:rPr>
          <w:sz w:val="28"/>
          <w:szCs w:val="28"/>
          <w:lang w:val="uk-UA"/>
        </w:rPr>
      </w:pPr>
    </w:p>
    <w:p w:rsidR="008974F0" w:rsidRPr="009A264B" w:rsidRDefault="008974F0" w:rsidP="00463220">
      <w:pPr>
        <w:jc w:val="center"/>
        <w:rPr>
          <w:b/>
          <w:sz w:val="28"/>
          <w:szCs w:val="28"/>
          <w:lang w:val="uk-UA"/>
        </w:rPr>
      </w:pPr>
    </w:p>
    <w:p w:rsidR="008974F0" w:rsidRPr="009A264B" w:rsidRDefault="008974F0" w:rsidP="00463220">
      <w:pPr>
        <w:jc w:val="center"/>
        <w:rPr>
          <w:b/>
          <w:sz w:val="28"/>
          <w:szCs w:val="28"/>
          <w:lang w:val="uk-UA"/>
        </w:rPr>
      </w:pPr>
      <w:r w:rsidRPr="009A264B">
        <w:rPr>
          <w:b/>
          <w:sz w:val="28"/>
          <w:szCs w:val="28"/>
          <w:lang w:val="uk-UA"/>
        </w:rPr>
        <w:t>УКРАЇНА</w:t>
      </w:r>
    </w:p>
    <w:p w:rsidR="008974F0" w:rsidRPr="009A264B" w:rsidRDefault="008974F0" w:rsidP="00463220">
      <w:pPr>
        <w:jc w:val="center"/>
        <w:rPr>
          <w:b/>
          <w:sz w:val="28"/>
          <w:szCs w:val="28"/>
          <w:lang w:val="uk-UA"/>
        </w:rPr>
      </w:pPr>
      <w:r w:rsidRPr="009A264B">
        <w:rPr>
          <w:b/>
          <w:sz w:val="28"/>
          <w:szCs w:val="28"/>
          <w:lang w:val="uk-UA"/>
        </w:rPr>
        <w:t>СНОВСЬКА МІСЬКА РАДА</w:t>
      </w:r>
    </w:p>
    <w:p w:rsidR="008974F0" w:rsidRPr="009A264B" w:rsidRDefault="008974F0" w:rsidP="00463220">
      <w:pPr>
        <w:jc w:val="center"/>
        <w:rPr>
          <w:b/>
          <w:sz w:val="28"/>
          <w:szCs w:val="28"/>
          <w:lang w:val="uk-UA"/>
        </w:rPr>
      </w:pPr>
      <w:r w:rsidRPr="009A264B">
        <w:rPr>
          <w:b/>
          <w:sz w:val="28"/>
          <w:szCs w:val="28"/>
          <w:lang w:val="uk-UA"/>
        </w:rPr>
        <w:t>СНОВСЬКОГО РАЙОНУ ЧЕРНІГІВСЬКОЇ ОБЛАСТІ</w:t>
      </w:r>
    </w:p>
    <w:p w:rsidR="008974F0" w:rsidRPr="009A264B" w:rsidRDefault="008974F0" w:rsidP="00463220">
      <w:pPr>
        <w:jc w:val="center"/>
        <w:rPr>
          <w:b/>
          <w:sz w:val="16"/>
          <w:szCs w:val="16"/>
          <w:lang w:val="uk-UA"/>
        </w:rPr>
      </w:pPr>
    </w:p>
    <w:p w:rsidR="008974F0" w:rsidRPr="009A264B" w:rsidRDefault="008974F0" w:rsidP="00463220">
      <w:pPr>
        <w:jc w:val="center"/>
        <w:rPr>
          <w:b/>
          <w:sz w:val="28"/>
          <w:szCs w:val="28"/>
          <w:lang w:val="uk-UA"/>
        </w:rPr>
      </w:pPr>
      <w:r w:rsidRPr="009A264B">
        <w:rPr>
          <w:b/>
          <w:sz w:val="28"/>
          <w:szCs w:val="28"/>
          <w:lang w:val="uk-UA"/>
        </w:rPr>
        <w:t>Четверта сесія восьмого скликання</w:t>
      </w:r>
    </w:p>
    <w:p w:rsidR="008974F0" w:rsidRPr="009A264B" w:rsidRDefault="008974F0" w:rsidP="00463220">
      <w:pPr>
        <w:pStyle w:val="NormalWeb"/>
        <w:spacing w:before="0" w:beforeAutospacing="0" w:after="0" w:afterAutospacing="0"/>
        <w:ind w:left="35" w:right="35" w:firstLine="567"/>
        <w:jc w:val="center"/>
        <w:rPr>
          <w:color w:val="000000"/>
          <w:sz w:val="20"/>
          <w:szCs w:val="20"/>
          <w:lang w:val="uk-UA"/>
        </w:rPr>
      </w:pPr>
    </w:p>
    <w:p w:rsidR="008974F0" w:rsidRPr="009A264B" w:rsidRDefault="008974F0" w:rsidP="00463220">
      <w:pPr>
        <w:autoSpaceDE w:val="0"/>
        <w:autoSpaceDN w:val="0"/>
        <w:adjustRightInd w:val="0"/>
        <w:jc w:val="center"/>
        <w:rPr>
          <w:rFonts w:ascii="TimesNewRomanPS-BoldMT" w:hAnsi="TimesNewRomanPS-BoldMT" w:cs="TimesNewRomanPS-BoldMT"/>
          <w:b/>
          <w:bCs/>
          <w:sz w:val="28"/>
          <w:szCs w:val="28"/>
          <w:lang w:val="uk-UA"/>
        </w:rPr>
      </w:pPr>
      <w:r w:rsidRPr="009A264B">
        <w:rPr>
          <w:rFonts w:ascii="TimesNewRomanPS-BoldMT" w:hAnsi="TimesNewRomanPS-BoldMT" w:cs="TimesNewRomanPS-BoldMT"/>
          <w:b/>
          <w:bCs/>
          <w:sz w:val="28"/>
          <w:szCs w:val="28"/>
          <w:lang w:val="uk-UA"/>
        </w:rPr>
        <w:t>РІШЕННЯ</w:t>
      </w:r>
    </w:p>
    <w:p w:rsidR="008974F0" w:rsidRPr="009A264B" w:rsidRDefault="008974F0" w:rsidP="00463220">
      <w:pPr>
        <w:autoSpaceDE w:val="0"/>
        <w:autoSpaceDN w:val="0"/>
        <w:adjustRightInd w:val="0"/>
        <w:jc w:val="center"/>
        <w:rPr>
          <w:rFonts w:ascii="TimesNewRomanPS-BoldMT" w:hAnsi="TimesNewRomanPS-BoldMT" w:cs="TimesNewRomanPS-BoldMT"/>
          <w:b/>
          <w:bCs/>
          <w:sz w:val="16"/>
          <w:szCs w:val="16"/>
          <w:lang w:val="uk-UA"/>
        </w:rPr>
      </w:pPr>
    </w:p>
    <w:p w:rsidR="008974F0" w:rsidRPr="009A264B" w:rsidRDefault="008974F0" w:rsidP="00463220">
      <w:pPr>
        <w:autoSpaceDE w:val="0"/>
        <w:autoSpaceDN w:val="0"/>
        <w:adjustRightInd w:val="0"/>
        <w:rPr>
          <w:rFonts w:ascii="TimesNewRomanPS-BoldMT" w:hAnsi="TimesNewRomanPS-BoldMT" w:cs="TimesNewRomanPS-BoldMT"/>
          <w:b/>
          <w:bCs/>
          <w:sz w:val="28"/>
          <w:szCs w:val="28"/>
          <w:lang w:val="uk-UA"/>
        </w:rPr>
      </w:pPr>
      <w:r w:rsidRPr="009A264B">
        <w:rPr>
          <w:rFonts w:ascii="TimesNewRomanPS-BoldMT" w:hAnsi="TimesNewRomanPS-BoldMT" w:cs="TimesNewRomanPS-BoldMT"/>
          <w:b/>
          <w:bCs/>
          <w:sz w:val="28"/>
          <w:szCs w:val="28"/>
          <w:lang w:val="uk-UA"/>
        </w:rPr>
        <w:t xml:space="preserve">21 березня 2017 року                      м. Сновськ                         </w:t>
      </w:r>
      <w:r>
        <w:rPr>
          <w:rFonts w:ascii="TimesNewRomanPS-BoldMT" w:hAnsi="TimesNewRomanPS-BoldMT" w:cs="TimesNewRomanPS-BoldMT"/>
          <w:b/>
          <w:bCs/>
          <w:sz w:val="28"/>
          <w:szCs w:val="28"/>
          <w:lang w:val="uk-UA"/>
        </w:rPr>
        <w:t xml:space="preserve">              №</w:t>
      </w:r>
      <w:r w:rsidRPr="009A264B">
        <w:rPr>
          <w:rFonts w:ascii="TimesNewRomanPS-BoldMT" w:hAnsi="TimesNewRomanPS-BoldMT" w:cs="TimesNewRomanPS-BoldMT"/>
          <w:b/>
          <w:bCs/>
          <w:sz w:val="28"/>
          <w:szCs w:val="28"/>
          <w:lang w:val="uk-UA"/>
        </w:rPr>
        <w:t xml:space="preserve"> </w:t>
      </w:r>
      <w:r>
        <w:rPr>
          <w:rFonts w:ascii="TimesNewRomanPS-BoldMT" w:hAnsi="TimesNewRomanPS-BoldMT" w:cs="TimesNewRomanPS-BoldMT"/>
          <w:b/>
          <w:bCs/>
          <w:sz w:val="28"/>
          <w:szCs w:val="28"/>
          <w:lang w:val="uk-UA"/>
        </w:rPr>
        <w:t>3</w:t>
      </w:r>
      <w:r w:rsidRPr="009A264B">
        <w:rPr>
          <w:rFonts w:ascii="TimesNewRomanPS-BoldMT" w:hAnsi="TimesNewRomanPS-BoldMT" w:cs="TimesNewRomanPS-BoldMT"/>
          <w:b/>
          <w:bCs/>
          <w:sz w:val="28"/>
          <w:szCs w:val="28"/>
          <w:lang w:val="uk-UA"/>
        </w:rPr>
        <w:t>-4/VІІІ</w:t>
      </w:r>
    </w:p>
    <w:p w:rsidR="008974F0" w:rsidRPr="009A264B" w:rsidRDefault="008974F0" w:rsidP="00792726">
      <w:pPr>
        <w:rPr>
          <w:b/>
          <w:sz w:val="28"/>
          <w:szCs w:val="28"/>
          <w:lang w:val="uk-UA"/>
        </w:rPr>
      </w:pPr>
    </w:p>
    <w:p w:rsidR="008974F0" w:rsidRPr="009A264B" w:rsidRDefault="008974F0" w:rsidP="009A264B">
      <w:pPr>
        <w:pStyle w:val="BodyText"/>
        <w:spacing w:after="0"/>
        <w:rPr>
          <w:b/>
          <w:lang w:val="uk-UA"/>
        </w:rPr>
      </w:pPr>
      <w:r w:rsidRPr="009A264B">
        <w:rPr>
          <w:b/>
          <w:lang w:val="uk-UA"/>
        </w:rPr>
        <w:t xml:space="preserve">Про затвердження ставок плати за землю </w:t>
      </w:r>
    </w:p>
    <w:p w:rsidR="008974F0" w:rsidRPr="009A264B" w:rsidRDefault="008974F0" w:rsidP="009A264B">
      <w:pPr>
        <w:pStyle w:val="BodyText"/>
        <w:spacing w:after="0"/>
        <w:rPr>
          <w:b/>
          <w:lang w:val="uk-UA"/>
        </w:rPr>
      </w:pPr>
      <w:r w:rsidRPr="009A264B">
        <w:rPr>
          <w:b/>
          <w:lang w:val="uk-UA"/>
        </w:rPr>
        <w:t xml:space="preserve">на 2017 рік та встановлення пільг щодо </w:t>
      </w:r>
    </w:p>
    <w:p w:rsidR="008974F0" w:rsidRPr="009A264B" w:rsidRDefault="008974F0" w:rsidP="009A264B">
      <w:pPr>
        <w:pStyle w:val="BodyText"/>
        <w:spacing w:after="0"/>
        <w:rPr>
          <w:b/>
          <w:lang w:val="uk-UA"/>
        </w:rPr>
      </w:pPr>
      <w:r w:rsidRPr="009A264B">
        <w:rPr>
          <w:b/>
          <w:lang w:val="uk-UA"/>
        </w:rPr>
        <w:t xml:space="preserve">плати за землю для фізичних і юридичних </w:t>
      </w:r>
    </w:p>
    <w:p w:rsidR="008974F0" w:rsidRPr="009A264B" w:rsidRDefault="008974F0" w:rsidP="009A264B">
      <w:pPr>
        <w:pStyle w:val="BodyText"/>
        <w:spacing w:after="0"/>
        <w:rPr>
          <w:b/>
          <w:lang w:val="uk-UA"/>
        </w:rPr>
      </w:pPr>
      <w:r w:rsidRPr="009A264B">
        <w:rPr>
          <w:b/>
          <w:lang w:val="uk-UA"/>
        </w:rPr>
        <w:t>осіб на 2017 рік</w:t>
      </w:r>
    </w:p>
    <w:p w:rsidR="008974F0" w:rsidRPr="009A264B" w:rsidRDefault="008974F0" w:rsidP="002A3DDF">
      <w:pPr>
        <w:pStyle w:val="BodyText"/>
        <w:rPr>
          <w:b/>
          <w:lang w:val="uk-UA"/>
        </w:rPr>
      </w:pPr>
    </w:p>
    <w:p w:rsidR="008974F0" w:rsidRDefault="008974F0" w:rsidP="002A3DDF">
      <w:pPr>
        <w:jc w:val="both"/>
        <w:rPr>
          <w:lang w:val="uk-UA"/>
        </w:rPr>
      </w:pPr>
      <w:r w:rsidRPr="009A264B">
        <w:rPr>
          <w:lang w:val="uk-UA"/>
        </w:rPr>
        <w:t xml:space="preserve">   З метою приведення рішень міської ради та сільських рад, які приєднались до Сновської міської ради, щодо встановлення ставок плати за землю на 2017 рік у відповідність до вимог чинного законодавства, керуючись ст.ст. 7, 8, 10, 12, 269-289 Податкового кодексу України (зі змінами та доповненнями, що починають діяти з 01 квітня 2017 року), відповідно до пункту 2 частини 1 статті 26, частини 2 статті 64 Закону України «Про місцеве самоврядування в Україні», за рекомендацією постійної комісії з питань містобудування, будівництва, земельних відносин та охорони природи та постійної комісії з питань планування, фінансів, бюджету та соціального-економічного розвитку сесія міської ради      В И Р І Ш И Л А:</w:t>
      </w:r>
    </w:p>
    <w:p w:rsidR="008974F0" w:rsidRPr="009A264B" w:rsidRDefault="008974F0" w:rsidP="002A3DDF">
      <w:pPr>
        <w:jc w:val="both"/>
        <w:rPr>
          <w:lang w:val="uk-UA"/>
        </w:rPr>
      </w:pPr>
    </w:p>
    <w:p w:rsidR="008974F0" w:rsidRPr="009A264B" w:rsidRDefault="008974F0" w:rsidP="002A3DDF">
      <w:pPr>
        <w:numPr>
          <w:ilvl w:val="0"/>
          <w:numId w:val="19"/>
        </w:numPr>
        <w:tabs>
          <w:tab w:val="clear" w:pos="720"/>
          <w:tab w:val="num" w:pos="0"/>
          <w:tab w:val="left" w:pos="360"/>
        </w:tabs>
        <w:ind w:left="0" w:firstLine="0"/>
        <w:jc w:val="both"/>
        <w:rPr>
          <w:lang w:val="uk-UA"/>
        </w:rPr>
      </w:pPr>
      <w:r w:rsidRPr="009A264B">
        <w:rPr>
          <w:lang w:val="uk-UA"/>
        </w:rPr>
        <w:t>Встановити на 2017 рік на території об’єднаної територіальної громади Сновської міської ради ставки плати за землю:</w:t>
      </w:r>
    </w:p>
    <w:p w:rsidR="008974F0" w:rsidRPr="009A264B" w:rsidRDefault="008974F0" w:rsidP="002A3DDF">
      <w:pPr>
        <w:tabs>
          <w:tab w:val="left" w:pos="360"/>
        </w:tabs>
        <w:spacing w:line="120" w:lineRule="auto"/>
        <w:jc w:val="both"/>
        <w:rPr>
          <w:lang w:val="uk-UA"/>
        </w:rPr>
      </w:pPr>
    </w:p>
    <w:p w:rsidR="008974F0" w:rsidRPr="009A264B" w:rsidRDefault="008974F0" w:rsidP="009A264B">
      <w:pPr>
        <w:pStyle w:val="BodyText"/>
        <w:shd w:val="clear" w:color="auto" w:fill="FFFFFF"/>
        <w:spacing w:line="216" w:lineRule="atLeast"/>
        <w:jc w:val="both"/>
        <w:rPr>
          <w:color w:val="000000"/>
          <w:lang w:val="uk-UA"/>
        </w:rPr>
      </w:pPr>
      <w:r w:rsidRPr="009A264B">
        <w:rPr>
          <w:rStyle w:val="tjbmf0"/>
          <w:color w:val="000000"/>
        </w:rPr>
        <w:t>1.1</w:t>
      </w:r>
      <w:r w:rsidRPr="009A264B">
        <w:rPr>
          <w:color w:val="333333"/>
          <w:sz w:val="14"/>
          <w:szCs w:val="14"/>
          <w:bdr w:val="none" w:sz="0" w:space="0" w:color="auto" w:frame="1"/>
          <w:lang w:val="uk-UA"/>
        </w:rPr>
        <w:t> </w:t>
      </w:r>
      <w:r w:rsidRPr="009A264B">
        <w:rPr>
          <w:rFonts w:ascii="Verdana" w:hAnsi="Verdana" w:cs="Segoe UI"/>
          <w:color w:val="333333"/>
          <w:sz w:val="20"/>
          <w:szCs w:val="20"/>
          <w:bdr w:val="none" w:sz="0" w:space="0" w:color="auto" w:frame="1"/>
          <w:lang w:val="uk-UA"/>
        </w:rPr>
        <w:t>  </w:t>
      </w:r>
      <w:r w:rsidRPr="009A264B">
        <w:rPr>
          <w:rFonts w:ascii="Verdana" w:hAnsi="Verdana" w:cs="Segoe UI"/>
          <w:sz w:val="20"/>
          <w:szCs w:val="20"/>
          <w:lang w:val="uk-UA"/>
        </w:rPr>
        <w:t> </w:t>
      </w:r>
      <w:r w:rsidRPr="009A264B">
        <w:rPr>
          <w:lang w:val="uk-UA"/>
        </w:rPr>
        <w:t xml:space="preserve">Встановити ставки плати за землю, </w:t>
      </w:r>
      <w:r w:rsidRPr="009A264B">
        <w:rPr>
          <w:rFonts w:cs="Segoe UI"/>
          <w:lang w:val="uk-UA"/>
        </w:rPr>
        <w:t>нормативну грошову оцінку яких проведено (незалежно від місцезнаходження)</w:t>
      </w:r>
      <w:r w:rsidRPr="009A264B">
        <w:rPr>
          <w:lang w:val="uk-UA"/>
        </w:rPr>
        <w:t xml:space="preserve"> </w:t>
      </w:r>
      <w:r w:rsidRPr="009A264B">
        <w:rPr>
          <w:color w:val="000000"/>
          <w:lang w:val="uk-UA"/>
        </w:rPr>
        <w:t>у розмірі 1 % від їх нормативної грошової оцінки,</w:t>
      </w:r>
      <w:r w:rsidRPr="009A264B">
        <w:rPr>
          <w:rStyle w:val="apple-converted-space"/>
          <w:color w:val="000000"/>
          <w:lang w:val="uk-UA"/>
        </w:rPr>
        <w:t> </w:t>
      </w:r>
      <w:r w:rsidRPr="009A264B">
        <w:rPr>
          <w:color w:val="000000"/>
          <w:lang w:val="uk-UA"/>
        </w:rPr>
        <w:t>для земель загального користування у розмірі 0,5% від їх нормативної грошової оцінки (за винятком земельних ділянок зазначених в підпункті 1.3 даного пункту), а для сільськогосподарських угідь у розмірі 0,3 % від їх нормативної грошової оцінки (за винятком земельних ділянок зазначених в підпункті 1.3 даного пункту).</w:t>
      </w:r>
    </w:p>
    <w:p w:rsidR="008974F0" w:rsidRPr="009A264B" w:rsidRDefault="008974F0" w:rsidP="002A3DDF">
      <w:pPr>
        <w:pStyle w:val="rvps2"/>
        <w:spacing w:before="0" w:beforeAutospacing="0" w:after="0" w:afterAutospacing="0" w:line="120" w:lineRule="auto"/>
        <w:jc w:val="both"/>
        <w:rPr>
          <w:lang w:val="uk-UA"/>
        </w:rPr>
      </w:pPr>
    </w:p>
    <w:p w:rsidR="008974F0" w:rsidRPr="009A264B" w:rsidRDefault="008974F0" w:rsidP="009A264B">
      <w:pPr>
        <w:pStyle w:val="BodyText"/>
        <w:shd w:val="clear" w:color="auto" w:fill="FFFFFF"/>
        <w:spacing w:line="216" w:lineRule="atLeast"/>
        <w:jc w:val="both"/>
        <w:rPr>
          <w:rFonts w:cs="Segoe UI"/>
          <w:szCs w:val="20"/>
          <w:lang w:val="uk-UA"/>
        </w:rPr>
      </w:pPr>
      <w:r w:rsidRPr="009A264B">
        <w:rPr>
          <w:rStyle w:val="tjbmf0"/>
          <w:color w:val="000000"/>
        </w:rPr>
        <w:t>1.2</w:t>
      </w:r>
      <w:r w:rsidRPr="009A264B">
        <w:rPr>
          <w:color w:val="333333"/>
          <w:sz w:val="14"/>
          <w:szCs w:val="14"/>
          <w:bdr w:val="none" w:sz="0" w:space="0" w:color="auto" w:frame="1"/>
          <w:lang w:val="uk-UA"/>
        </w:rPr>
        <w:t>   </w:t>
      </w:r>
      <w:r w:rsidRPr="009A264B">
        <w:rPr>
          <w:rFonts w:ascii="Verdana" w:hAnsi="Verdana" w:cs="Segoe UI"/>
          <w:sz w:val="20"/>
          <w:szCs w:val="20"/>
          <w:lang w:val="uk-UA"/>
        </w:rPr>
        <w:t> </w:t>
      </w:r>
      <w:r w:rsidRPr="009A264B">
        <w:rPr>
          <w:lang w:val="uk-UA"/>
        </w:rPr>
        <w:t>З</w:t>
      </w:r>
      <w:r w:rsidRPr="009A264B">
        <w:rPr>
          <w:rFonts w:cs="Segoe UI"/>
          <w:szCs w:val="20"/>
          <w:lang w:val="uk-UA"/>
        </w:rPr>
        <w:t>а земельні ділянки, розташовані за межами населених пунктів, нормативну грошову оцінку яких не проведено – у розмірі 5 % від нормативної грошової оцінки одиниці площі ріллі по області, а для сільськогосподарських угідь – у розмірі 0,3% від нормативної грошової оцінки площі одиниці площі ріллі по області.</w:t>
      </w:r>
    </w:p>
    <w:p w:rsidR="008974F0" w:rsidRPr="009A264B" w:rsidRDefault="008974F0" w:rsidP="002A3DDF">
      <w:pPr>
        <w:pStyle w:val="BodyText"/>
        <w:shd w:val="clear" w:color="auto" w:fill="FFFFFF"/>
        <w:spacing w:line="120" w:lineRule="auto"/>
        <w:rPr>
          <w:rFonts w:cs="Segoe UI"/>
          <w:szCs w:val="14"/>
          <w:lang w:val="uk-UA"/>
        </w:rPr>
      </w:pPr>
    </w:p>
    <w:p w:rsidR="008974F0" w:rsidRPr="009A264B" w:rsidRDefault="008974F0" w:rsidP="002A3DDF">
      <w:pPr>
        <w:shd w:val="clear" w:color="auto" w:fill="FFFFFF"/>
        <w:spacing w:line="216" w:lineRule="atLeast"/>
        <w:jc w:val="both"/>
        <w:rPr>
          <w:rFonts w:cs="Segoe UI"/>
          <w:szCs w:val="14"/>
          <w:lang w:val="uk-UA"/>
        </w:rPr>
      </w:pPr>
      <w:r w:rsidRPr="009A264B">
        <w:rPr>
          <w:rFonts w:cs="Segoe UI"/>
          <w:szCs w:val="20"/>
          <w:lang w:val="uk-UA"/>
        </w:rPr>
        <w:t>1.3 За земельні ділянки зайняті: житловим фондом; автостоянками для зберігання особистих транспортних засобів громадян, які використовуються без отримання прибутку; гаражно-будівельними, дачно-будівельними та садівницькими товариствами; індивідуальними гаражами; садовими і дачними будинками; господарськими та іншими будівлями і спорудами; багаторічними насадженнями та надані для сільськогосподарського виробництва, які зайняті виробничими, культурно-побутовими, господарськими та іншими будівлями і спорудами, справляється у розмірі 0,05 % від їх нормативної грошової оцінки.</w:t>
      </w:r>
    </w:p>
    <w:p w:rsidR="008974F0" w:rsidRPr="009A264B" w:rsidRDefault="008974F0" w:rsidP="002A3DDF">
      <w:pPr>
        <w:pStyle w:val="rvps2"/>
        <w:spacing w:before="0" w:beforeAutospacing="0" w:after="0" w:afterAutospacing="0"/>
        <w:jc w:val="both"/>
        <w:rPr>
          <w:lang w:val="uk-UA"/>
        </w:rPr>
      </w:pPr>
      <w:r w:rsidRPr="009A264B">
        <w:rPr>
          <w:lang w:val="uk-UA"/>
        </w:rPr>
        <w:t>1.4 За земельні ділянки, які перебувають у постійному користуванні суб’єктів господарювання (крім державної та комунальної форми власності) у розмірі 2,5 % від їх нормативної грошової оцінки;</w:t>
      </w:r>
    </w:p>
    <w:p w:rsidR="008974F0" w:rsidRPr="009A264B" w:rsidRDefault="008974F0" w:rsidP="002A3DDF">
      <w:pPr>
        <w:pStyle w:val="rvps2"/>
        <w:spacing w:before="0" w:beforeAutospacing="0" w:after="0" w:afterAutospacing="0" w:line="120" w:lineRule="auto"/>
        <w:jc w:val="both"/>
        <w:rPr>
          <w:lang w:val="uk-UA"/>
        </w:rPr>
      </w:pPr>
    </w:p>
    <w:p w:rsidR="008974F0" w:rsidRPr="009A264B" w:rsidRDefault="008974F0" w:rsidP="002A3DDF">
      <w:pPr>
        <w:pStyle w:val="rvps2"/>
        <w:spacing w:before="0" w:beforeAutospacing="0" w:after="0" w:afterAutospacing="0"/>
        <w:jc w:val="both"/>
        <w:rPr>
          <w:lang w:val="uk-UA"/>
        </w:rPr>
      </w:pPr>
      <w:r w:rsidRPr="009A264B">
        <w:rPr>
          <w:lang w:val="uk-UA"/>
        </w:rPr>
        <w:t xml:space="preserve">1.5 За земельні ділянки, на які перейшло право користування до фізичних або юридичних осіб в зв’язку з придбанням у власність </w:t>
      </w:r>
      <w:r w:rsidRPr="009A264B">
        <w:rPr>
          <w:u w:val="single"/>
          <w:lang w:val="uk-UA"/>
        </w:rPr>
        <w:t>нежитлових будівель та споруд</w:t>
      </w:r>
      <w:r w:rsidRPr="009A264B">
        <w:rPr>
          <w:lang w:val="uk-UA"/>
        </w:rPr>
        <w:t xml:space="preserve"> і право на такі земельні ділянки, відповідно чинного законодавства не оформлено – у розмірі 6% від нормативної грошової оцінки землі.</w:t>
      </w:r>
    </w:p>
    <w:p w:rsidR="008974F0" w:rsidRPr="009A264B" w:rsidRDefault="008974F0" w:rsidP="002A3DDF">
      <w:pPr>
        <w:pStyle w:val="rvps2"/>
        <w:spacing w:before="0" w:beforeAutospacing="0" w:after="0" w:afterAutospacing="0" w:line="120" w:lineRule="auto"/>
        <w:jc w:val="both"/>
        <w:rPr>
          <w:lang w:val="uk-UA"/>
        </w:rPr>
      </w:pPr>
    </w:p>
    <w:p w:rsidR="008974F0" w:rsidRPr="009A264B" w:rsidRDefault="008974F0" w:rsidP="002A3DDF">
      <w:pPr>
        <w:pStyle w:val="rvps2"/>
        <w:numPr>
          <w:ilvl w:val="0"/>
          <w:numId w:val="19"/>
        </w:numPr>
        <w:tabs>
          <w:tab w:val="clear" w:pos="720"/>
          <w:tab w:val="num" w:pos="360"/>
        </w:tabs>
        <w:spacing w:before="0" w:beforeAutospacing="0" w:after="0" w:afterAutospacing="0"/>
        <w:ind w:left="0" w:firstLine="0"/>
        <w:jc w:val="both"/>
        <w:rPr>
          <w:lang w:val="uk-UA"/>
        </w:rPr>
      </w:pPr>
      <w:r w:rsidRPr="009A264B">
        <w:rPr>
          <w:lang w:val="uk-UA"/>
        </w:rPr>
        <w:t>Встановити ставки орендної плати за земельні ділянки на території об’єднаної територіальної громади Сновської міської ради на 2017 рік, установивши в договорах оренди землі річну орендну плату за землю (згідно таблиці) в слідуючому розмірі:</w:t>
      </w:r>
    </w:p>
    <w:p w:rsidR="008974F0" w:rsidRPr="009A264B" w:rsidRDefault="008974F0" w:rsidP="002A3DDF">
      <w:pPr>
        <w:pStyle w:val="rvps2"/>
        <w:spacing w:before="0" w:beforeAutospacing="0" w:after="0" w:afterAutospacing="0"/>
        <w:jc w:val="both"/>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4986"/>
        <w:gridCol w:w="1087"/>
        <w:gridCol w:w="3107"/>
      </w:tblGrid>
      <w:tr w:rsidR="008974F0" w:rsidRPr="009A264B" w:rsidTr="00175274">
        <w:trPr>
          <w:trHeight w:val="1061"/>
          <w:jc w:val="center"/>
        </w:trPr>
        <w:tc>
          <w:tcPr>
            <w:tcW w:w="0" w:type="auto"/>
            <w:vAlign w:val="center"/>
          </w:tcPr>
          <w:p w:rsidR="008974F0" w:rsidRPr="009A264B" w:rsidRDefault="008974F0" w:rsidP="00175274">
            <w:pPr>
              <w:jc w:val="center"/>
              <w:rPr>
                <w:sz w:val="20"/>
                <w:szCs w:val="20"/>
                <w:lang w:val="uk-UA"/>
              </w:rPr>
            </w:pPr>
            <w:r w:rsidRPr="009A264B">
              <w:rPr>
                <w:sz w:val="20"/>
                <w:szCs w:val="20"/>
                <w:lang w:val="uk-UA"/>
              </w:rPr>
              <w:t>№№ п/п</w:t>
            </w:r>
          </w:p>
        </w:tc>
        <w:tc>
          <w:tcPr>
            <w:tcW w:w="0" w:type="auto"/>
            <w:vAlign w:val="center"/>
          </w:tcPr>
          <w:p w:rsidR="008974F0" w:rsidRPr="009A264B" w:rsidRDefault="008974F0" w:rsidP="00175274">
            <w:pPr>
              <w:jc w:val="center"/>
              <w:rPr>
                <w:sz w:val="20"/>
                <w:szCs w:val="20"/>
                <w:lang w:val="uk-UA"/>
              </w:rPr>
            </w:pPr>
            <w:r w:rsidRPr="009A264B">
              <w:rPr>
                <w:sz w:val="20"/>
                <w:szCs w:val="20"/>
                <w:lang w:val="uk-UA"/>
              </w:rPr>
              <w:t>Назва цільового призначення</w:t>
            </w:r>
          </w:p>
        </w:tc>
        <w:tc>
          <w:tcPr>
            <w:tcW w:w="0" w:type="auto"/>
            <w:vAlign w:val="center"/>
          </w:tcPr>
          <w:p w:rsidR="008974F0" w:rsidRPr="009A264B" w:rsidRDefault="008974F0" w:rsidP="00175274">
            <w:pPr>
              <w:jc w:val="center"/>
              <w:rPr>
                <w:sz w:val="20"/>
                <w:szCs w:val="20"/>
                <w:lang w:val="uk-UA"/>
              </w:rPr>
            </w:pPr>
            <w:r w:rsidRPr="009A264B">
              <w:rPr>
                <w:sz w:val="20"/>
                <w:szCs w:val="20"/>
                <w:lang w:val="uk-UA"/>
              </w:rPr>
              <w:t>Код КВПЦТЗ</w:t>
            </w:r>
          </w:p>
        </w:tc>
        <w:tc>
          <w:tcPr>
            <w:tcW w:w="0" w:type="auto"/>
            <w:vAlign w:val="center"/>
          </w:tcPr>
          <w:p w:rsidR="008974F0" w:rsidRPr="009A264B" w:rsidRDefault="008974F0" w:rsidP="00175274">
            <w:pPr>
              <w:jc w:val="center"/>
              <w:rPr>
                <w:sz w:val="20"/>
                <w:szCs w:val="20"/>
                <w:lang w:val="uk-UA"/>
              </w:rPr>
            </w:pPr>
            <w:r w:rsidRPr="009A264B">
              <w:rPr>
                <w:sz w:val="20"/>
                <w:szCs w:val="20"/>
                <w:lang w:val="uk-UA"/>
              </w:rPr>
              <w:t>Ставки орендної плати за землю у % від нормативної грошової оцінки або ставок земельного податку</w:t>
            </w:r>
          </w:p>
        </w:tc>
      </w:tr>
      <w:tr w:rsidR="008974F0" w:rsidRPr="009A264B" w:rsidTr="00175274">
        <w:trPr>
          <w:trHeight w:val="422"/>
          <w:jc w:val="center"/>
        </w:trPr>
        <w:tc>
          <w:tcPr>
            <w:tcW w:w="0" w:type="auto"/>
            <w:vAlign w:val="center"/>
          </w:tcPr>
          <w:p w:rsidR="008974F0" w:rsidRPr="009A264B" w:rsidRDefault="008974F0" w:rsidP="00175274">
            <w:pPr>
              <w:jc w:val="center"/>
              <w:rPr>
                <w:b/>
                <w:sz w:val="20"/>
                <w:szCs w:val="20"/>
                <w:lang w:val="uk-UA"/>
              </w:rPr>
            </w:pPr>
            <w:r w:rsidRPr="009A264B">
              <w:rPr>
                <w:b/>
                <w:sz w:val="20"/>
                <w:szCs w:val="20"/>
                <w:lang w:val="uk-UA"/>
              </w:rPr>
              <w:t>І</w:t>
            </w:r>
          </w:p>
        </w:tc>
        <w:tc>
          <w:tcPr>
            <w:tcW w:w="0" w:type="auto"/>
            <w:vAlign w:val="center"/>
          </w:tcPr>
          <w:p w:rsidR="008974F0" w:rsidRPr="009A264B" w:rsidRDefault="008974F0" w:rsidP="00175274">
            <w:pPr>
              <w:rPr>
                <w:b/>
                <w:sz w:val="20"/>
                <w:szCs w:val="20"/>
                <w:lang w:val="uk-UA"/>
              </w:rPr>
            </w:pPr>
            <w:r w:rsidRPr="009A264B">
              <w:rPr>
                <w:b/>
                <w:sz w:val="20"/>
                <w:szCs w:val="20"/>
                <w:lang w:val="uk-UA"/>
              </w:rPr>
              <w:t>Землі сільськогосподарського призначення.</w:t>
            </w:r>
          </w:p>
        </w:tc>
        <w:tc>
          <w:tcPr>
            <w:tcW w:w="0" w:type="auto"/>
            <w:vAlign w:val="center"/>
          </w:tcPr>
          <w:p w:rsidR="008974F0" w:rsidRPr="009A264B" w:rsidRDefault="008974F0" w:rsidP="00175274">
            <w:pPr>
              <w:jc w:val="center"/>
              <w:rPr>
                <w:sz w:val="20"/>
                <w:szCs w:val="20"/>
                <w:lang w:val="uk-UA"/>
              </w:rPr>
            </w:pPr>
          </w:p>
        </w:tc>
        <w:tc>
          <w:tcPr>
            <w:tcW w:w="0" w:type="auto"/>
            <w:vAlign w:val="center"/>
          </w:tcPr>
          <w:p w:rsidR="008974F0" w:rsidRPr="009A264B" w:rsidRDefault="008974F0" w:rsidP="00175274">
            <w:pPr>
              <w:jc w:val="center"/>
              <w:rPr>
                <w:sz w:val="20"/>
                <w:szCs w:val="20"/>
                <w:lang w:val="uk-UA"/>
              </w:rPr>
            </w:pPr>
          </w:p>
        </w:tc>
      </w:tr>
      <w:tr w:rsidR="008974F0" w:rsidRPr="009A264B" w:rsidTr="00175274">
        <w:trPr>
          <w:trHeight w:val="638"/>
          <w:jc w:val="center"/>
        </w:trPr>
        <w:tc>
          <w:tcPr>
            <w:tcW w:w="0" w:type="auto"/>
            <w:vAlign w:val="center"/>
          </w:tcPr>
          <w:p w:rsidR="008974F0" w:rsidRPr="009A264B" w:rsidRDefault="008974F0" w:rsidP="00175274">
            <w:pPr>
              <w:jc w:val="center"/>
              <w:rPr>
                <w:sz w:val="20"/>
                <w:szCs w:val="20"/>
                <w:lang w:val="uk-UA"/>
              </w:rPr>
            </w:pPr>
            <w:r w:rsidRPr="009A264B">
              <w:rPr>
                <w:sz w:val="20"/>
                <w:szCs w:val="20"/>
                <w:lang w:val="uk-UA"/>
              </w:rPr>
              <w:t>1</w:t>
            </w:r>
          </w:p>
        </w:tc>
        <w:tc>
          <w:tcPr>
            <w:tcW w:w="0" w:type="auto"/>
            <w:vAlign w:val="center"/>
          </w:tcPr>
          <w:p w:rsidR="008974F0" w:rsidRPr="009A264B" w:rsidRDefault="008974F0" w:rsidP="00175274">
            <w:pPr>
              <w:rPr>
                <w:sz w:val="20"/>
                <w:szCs w:val="20"/>
                <w:lang w:val="uk-UA"/>
              </w:rPr>
            </w:pPr>
            <w:r w:rsidRPr="009A264B">
              <w:rPr>
                <w:sz w:val="20"/>
                <w:szCs w:val="20"/>
                <w:lang w:val="uk-UA"/>
              </w:rPr>
              <w:t>Для ведення товарного сільськогосподарського виробництва.</w:t>
            </w:r>
          </w:p>
        </w:tc>
        <w:tc>
          <w:tcPr>
            <w:tcW w:w="0" w:type="auto"/>
            <w:vAlign w:val="center"/>
          </w:tcPr>
          <w:p w:rsidR="008974F0" w:rsidRPr="009A264B" w:rsidRDefault="008974F0" w:rsidP="00175274">
            <w:pPr>
              <w:jc w:val="center"/>
              <w:rPr>
                <w:sz w:val="20"/>
                <w:szCs w:val="20"/>
                <w:lang w:val="uk-UA"/>
              </w:rPr>
            </w:pPr>
            <w:r w:rsidRPr="009A264B">
              <w:rPr>
                <w:sz w:val="20"/>
                <w:szCs w:val="20"/>
                <w:lang w:val="uk-UA"/>
              </w:rPr>
              <w:t>01.01</w:t>
            </w:r>
          </w:p>
        </w:tc>
        <w:tc>
          <w:tcPr>
            <w:tcW w:w="0" w:type="auto"/>
            <w:vAlign w:val="center"/>
          </w:tcPr>
          <w:p w:rsidR="008974F0" w:rsidRPr="009A264B" w:rsidRDefault="008974F0" w:rsidP="00175274">
            <w:pPr>
              <w:jc w:val="center"/>
              <w:rPr>
                <w:sz w:val="20"/>
                <w:szCs w:val="20"/>
                <w:lang w:val="uk-UA"/>
              </w:rPr>
            </w:pPr>
            <w:r w:rsidRPr="009A264B">
              <w:rPr>
                <w:sz w:val="20"/>
                <w:szCs w:val="20"/>
                <w:lang w:val="uk-UA"/>
              </w:rPr>
              <w:t>1%</w:t>
            </w:r>
          </w:p>
        </w:tc>
      </w:tr>
      <w:tr w:rsidR="008974F0" w:rsidRPr="009A264B" w:rsidTr="00175274">
        <w:trPr>
          <w:jc w:val="center"/>
        </w:trPr>
        <w:tc>
          <w:tcPr>
            <w:tcW w:w="0" w:type="auto"/>
            <w:vAlign w:val="center"/>
          </w:tcPr>
          <w:p w:rsidR="008974F0" w:rsidRPr="009A264B" w:rsidRDefault="008974F0" w:rsidP="00175274">
            <w:pPr>
              <w:jc w:val="center"/>
              <w:rPr>
                <w:sz w:val="20"/>
                <w:szCs w:val="20"/>
                <w:lang w:val="uk-UA"/>
              </w:rPr>
            </w:pPr>
            <w:r w:rsidRPr="009A264B">
              <w:rPr>
                <w:sz w:val="20"/>
                <w:szCs w:val="20"/>
                <w:lang w:val="uk-UA"/>
              </w:rPr>
              <w:t>2</w:t>
            </w:r>
          </w:p>
        </w:tc>
        <w:tc>
          <w:tcPr>
            <w:tcW w:w="0" w:type="auto"/>
            <w:vAlign w:val="center"/>
          </w:tcPr>
          <w:p w:rsidR="008974F0" w:rsidRPr="009A264B" w:rsidRDefault="008974F0" w:rsidP="00175274">
            <w:pPr>
              <w:rPr>
                <w:sz w:val="20"/>
                <w:szCs w:val="20"/>
                <w:lang w:val="uk-UA"/>
              </w:rPr>
            </w:pPr>
            <w:r w:rsidRPr="009A264B">
              <w:rPr>
                <w:sz w:val="20"/>
                <w:szCs w:val="20"/>
                <w:lang w:val="uk-UA"/>
              </w:rPr>
              <w:t>Для ведення особистого селянського господарства.</w:t>
            </w:r>
          </w:p>
        </w:tc>
        <w:tc>
          <w:tcPr>
            <w:tcW w:w="0" w:type="auto"/>
            <w:vAlign w:val="center"/>
          </w:tcPr>
          <w:p w:rsidR="008974F0" w:rsidRPr="009A264B" w:rsidRDefault="008974F0" w:rsidP="00175274">
            <w:pPr>
              <w:jc w:val="center"/>
              <w:rPr>
                <w:sz w:val="20"/>
                <w:szCs w:val="20"/>
                <w:lang w:val="uk-UA"/>
              </w:rPr>
            </w:pPr>
            <w:r w:rsidRPr="009A264B">
              <w:rPr>
                <w:sz w:val="20"/>
                <w:szCs w:val="20"/>
                <w:lang w:val="uk-UA"/>
              </w:rPr>
              <w:t>01.03</w:t>
            </w:r>
          </w:p>
        </w:tc>
        <w:tc>
          <w:tcPr>
            <w:tcW w:w="0" w:type="auto"/>
            <w:vAlign w:val="center"/>
          </w:tcPr>
          <w:p w:rsidR="008974F0" w:rsidRPr="009A264B" w:rsidRDefault="008974F0" w:rsidP="00175274">
            <w:pPr>
              <w:jc w:val="center"/>
              <w:rPr>
                <w:sz w:val="20"/>
                <w:szCs w:val="20"/>
                <w:lang w:val="uk-UA"/>
              </w:rPr>
            </w:pPr>
            <w:r w:rsidRPr="009A264B">
              <w:rPr>
                <w:sz w:val="20"/>
                <w:szCs w:val="20"/>
                <w:lang w:val="uk-UA"/>
              </w:rPr>
              <w:t>1%</w:t>
            </w:r>
          </w:p>
        </w:tc>
      </w:tr>
      <w:tr w:rsidR="008974F0" w:rsidRPr="009A264B" w:rsidTr="00175274">
        <w:trPr>
          <w:jc w:val="center"/>
        </w:trPr>
        <w:tc>
          <w:tcPr>
            <w:tcW w:w="0" w:type="auto"/>
            <w:vAlign w:val="center"/>
          </w:tcPr>
          <w:p w:rsidR="008974F0" w:rsidRPr="009A264B" w:rsidRDefault="008974F0" w:rsidP="00175274">
            <w:pPr>
              <w:jc w:val="center"/>
              <w:rPr>
                <w:sz w:val="20"/>
                <w:szCs w:val="20"/>
                <w:lang w:val="uk-UA"/>
              </w:rPr>
            </w:pPr>
            <w:r w:rsidRPr="009A264B">
              <w:rPr>
                <w:sz w:val="20"/>
                <w:szCs w:val="20"/>
                <w:lang w:val="uk-UA"/>
              </w:rPr>
              <w:t>3</w:t>
            </w:r>
          </w:p>
        </w:tc>
        <w:tc>
          <w:tcPr>
            <w:tcW w:w="0" w:type="auto"/>
            <w:vAlign w:val="center"/>
          </w:tcPr>
          <w:p w:rsidR="008974F0" w:rsidRPr="009A264B" w:rsidRDefault="008974F0" w:rsidP="00175274">
            <w:pPr>
              <w:rPr>
                <w:sz w:val="20"/>
                <w:szCs w:val="20"/>
                <w:lang w:val="uk-UA"/>
              </w:rPr>
            </w:pPr>
            <w:r w:rsidRPr="009A264B">
              <w:rPr>
                <w:sz w:val="20"/>
                <w:szCs w:val="20"/>
                <w:lang w:val="uk-UA"/>
              </w:rPr>
              <w:t>Для городництва.</w:t>
            </w:r>
          </w:p>
        </w:tc>
        <w:tc>
          <w:tcPr>
            <w:tcW w:w="0" w:type="auto"/>
            <w:vAlign w:val="center"/>
          </w:tcPr>
          <w:p w:rsidR="008974F0" w:rsidRPr="009A264B" w:rsidRDefault="008974F0" w:rsidP="00175274">
            <w:pPr>
              <w:jc w:val="center"/>
              <w:rPr>
                <w:sz w:val="20"/>
                <w:szCs w:val="20"/>
                <w:lang w:val="uk-UA"/>
              </w:rPr>
            </w:pPr>
            <w:r w:rsidRPr="009A264B">
              <w:rPr>
                <w:sz w:val="20"/>
                <w:szCs w:val="20"/>
                <w:lang w:val="uk-UA"/>
              </w:rPr>
              <w:t>01.07</w:t>
            </w:r>
          </w:p>
        </w:tc>
        <w:tc>
          <w:tcPr>
            <w:tcW w:w="0" w:type="auto"/>
            <w:vAlign w:val="center"/>
          </w:tcPr>
          <w:p w:rsidR="008974F0" w:rsidRPr="009A264B" w:rsidRDefault="008974F0" w:rsidP="00175274">
            <w:pPr>
              <w:jc w:val="center"/>
              <w:rPr>
                <w:sz w:val="20"/>
                <w:szCs w:val="20"/>
                <w:lang w:val="uk-UA"/>
              </w:rPr>
            </w:pPr>
            <w:r w:rsidRPr="009A264B">
              <w:rPr>
                <w:sz w:val="20"/>
                <w:szCs w:val="20"/>
                <w:lang w:val="uk-UA"/>
              </w:rPr>
              <w:t>1%</w:t>
            </w:r>
          </w:p>
        </w:tc>
      </w:tr>
      <w:tr w:rsidR="008974F0" w:rsidRPr="009A264B" w:rsidTr="00175274">
        <w:trPr>
          <w:jc w:val="center"/>
        </w:trPr>
        <w:tc>
          <w:tcPr>
            <w:tcW w:w="0" w:type="auto"/>
            <w:vAlign w:val="center"/>
          </w:tcPr>
          <w:p w:rsidR="008974F0" w:rsidRPr="009A264B" w:rsidRDefault="008974F0" w:rsidP="00175274">
            <w:pPr>
              <w:jc w:val="center"/>
              <w:rPr>
                <w:b/>
                <w:sz w:val="20"/>
                <w:szCs w:val="20"/>
                <w:lang w:val="uk-UA"/>
              </w:rPr>
            </w:pPr>
            <w:r w:rsidRPr="009A264B">
              <w:rPr>
                <w:b/>
                <w:sz w:val="20"/>
                <w:szCs w:val="20"/>
                <w:lang w:val="uk-UA"/>
              </w:rPr>
              <w:t>ІІ</w:t>
            </w:r>
          </w:p>
        </w:tc>
        <w:tc>
          <w:tcPr>
            <w:tcW w:w="0" w:type="auto"/>
            <w:vAlign w:val="center"/>
          </w:tcPr>
          <w:p w:rsidR="008974F0" w:rsidRPr="009A264B" w:rsidRDefault="008974F0" w:rsidP="00175274">
            <w:pPr>
              <w:rPr>
                <w:b/>
                <w:sz w:val="20"/>
                <w:szCs w:val="20"/>
                <w:lang w:val="uk-UA"/>
              </w:rPr>
            </w:pPr>
            <w:r w:rsidRPr="009A264B">
              <w:rPr>
                <w:b/>
                <w:sz w:val="20"/>
                <w:szCs w:val="20"/>
                <w:lang w:val="uk-UA"/>
              </w:rPr>
              <w:t>Землі житлової та громадської забудови.</w:t>
            </w:r>
          </w:p>
        </w:tc>
        <w:tc>
          <w:tcPr>
            <w:tcW w:w="0" w:type="auto"/>
            <w:vAlign w:val="center"/>
          </w:tcPr>
          <w:p w:rsidR="008974F0" w:rsidRPr="009A264B" w:rsidRDefault="008974F0" w:rsidP="00175274">
            <w:pPr>
              <w:jc w:val="center"/>
              <w:rPr>
                <w:sz w:val="20"/>
                <w:szCs w:val="20"/>
                <w:lang w:val="uk-UA"/>
              </w:rPr>
            </w:pPr>
          </w:p>
        </w:tc>
        <w:tc>
          <w:tcPr>
            <w:tcW w:w="0" w:type="auto"/>
            <w:vAlign w:val="center"/>
          </w:tcPr>
          <w:p w:rsidR="008974F0" w:rsidRPr="009A264B" w:rsidRDefault="008974F0" w:rsidP="00175274">
            <w:pPr>
              <w:jc w:val="center"/>
              <w:rPr>
                <w:sz w:val="20"/>
                <w:szCs w:val="20"/>
                <w:lang w:val="uk-UA"/>
              </w:rPr>
            </w:pPr>
          </w:p>
        </w:tc>
      </w:tr>
      <w:tr w:rsidR="008974F0" w:rsidRPr="009A264B" w:rsidTr="00175274">
        <w:trPr>
          <w:jc w:val="center"/>
        </w:trPr>
        <w:tc>
          <w:tcPr>
            <w:tcW w:w="0" w:type="auto"/>
            <w:vAlign w:val="center"/>
          </w:tcPr>
          <w:p w:rsidR="008974F0" w:rsidRPr="009A264B" w:rsidRDefault="008974F0" w:rsidP="00175274">
            <w:pPr>
              <w:jc w:val="center"/>
              <w:rPr>
                <w:sz w:val="20"/>
                <w:szCs w:val="20"/>
                <w:lang w:val="uk-UA"/>
              </w:rPr>
            </w:pPr>
            <w:r w:rsidRPr="009A264B">
              <w:rPr>
                <w:sz w:val="20"/>
                <w:szCs w:val="20"/>
                <w:lang w:val="uk-UA"/>
              </w:rPr>
              <w:t>1</w:t>
            </w:r>
          </w:p>
        </w:tc>
        <w:tc>
          <w:tcPr>
            <w:tcW w:w="0" w:type="auto"/>
            <w:vAlign w:val="center"/>
          </w:tcPr>
          <w:p w:rsidR="008974F0" w:rsidRPr="009A264B" w:rsidRDefault="008974F0" w:rsidP="00175274">
            <w:pPr>
              <w:rPr>
                <w:sz w:val="20"/>
                <w:szCs w:val="20"/>
                <w:lang w:val="uk-UA"/>
              </w:rPr>
            </w:pPr>
            <w:r w:rsidRPr="009A264B">
              <w:rPr>
                <w:sz w:val="20"/>
                <w:szCs w:val="20"/>
                <w:lang w:val="uk-UA"/>
              </w:rPr>
              <w:t>Для будівництва і обслуговування житлового будинку, господарських будівель та споруд (присадибна ділянка).</w:t>
            </w:r>
          </w:p>
        </w:tc>
        <w:tc>
          <w:tcPr>
            <w:tcW w:w="0" w:type="auto"/>
            <w:vAlign w:val="center"/>
          </w:tcPr>
          <w:p w:rsidR="008974F0" w:rsidRPr="009A264B" w:rsidRDefault="008974F0" w:rsidP="00175274">
            <w:pPr>
              <w:jc w:val="center"/>
              <w:rPr>
                <w:sz w:val="20"/>
                <w:szCs w:val="20"/>
                <w:lang w:val="uk-UA"/>
              </w:rPr>
            </w:pPr>
            <w:r w:rsidRPr="009A264B">
              <w:rPr>
                <w:sz w:val="20"/>
                <w:szCs w:val="20"/>
                <w:lang w:val="uk-UA"/>
              </w:rPr>
              <w:t>02.01</w:t>
            </w:r>
          </w:p>
        </w:tc>
        <w:tc>
          <w:tcPr>
            <w:tcW w:w="0" w:type="auto"/>
            <w:vAlign w:val="center"/>
          </w:tcPr>
          <w:p w:rsidR="008974F0" w:rsidRPr="009A264B" w:rsidRDefault="008974F0" w:rsidP="00175274">
            <w:pPr>
              <w:jc w:val="center"/>
              <w:rPr>
                <w:sz w:val="20"/>
                <w:szCs w:val="20"/>
                <w:lang w:val="uk-UA"/>
              </w:rPr>
            </w:pPr>
            <w:r w:rsidRPr="009A264B">
              <w:rPr>
                <w:sz w:val="20"/>
                <w:szCs w:val="20"/>
                <w:lang w:val="uk-UA"/>
              </w:rPr>
              <w:t>3 ставки зем.податку</w:t>
            </w:r>
          </w:p>
        </w:tc>
      </w:tr>
      <w:tr w:rsidR="008974F0" w:rsidRPr="009A264B" w:rsidTr="00175274">
        <w:trPr>
          <w:jc w:val="center"/>
        </w:trPr>
        <w:tc>
          <w:tcPr>
            <w:tcW w:w="0" w:type="auto"/>
            <w:vAlign w:val="center"/>
          </w:tcPr>
          <w:p w:rsidR="008974F0" w:rsidRPr="009A264B" w:rsidRDefault="008974F0" w:rsidP="00175274">
            <w:pPr>
              <w:jc w:val="center"/>
              <w:rPr>
                <w:sz w:val="20"/>
                <w:szCs w:val="20"/>
                <w:lang w:val="uk-UA"/>
              </w:rPr>
            </w:pPr>
            <w:r w:rsidRPr="009A264B">
              <w:rPr>
                <w:sz w:val="20"/>
                <w:szCs w:val="20"/>
                <w:lang w:val="uk-UA"/>
              </w:rPr>
              <w:t>2</w:t>
            </w:r>
          </w:p>
        </w:tc>
        <w:tc>
          <w:tcPr>
            <w:tcW w:w="0" w:type="auto"/>
            <w:vAlign w:val="center"/>
          </w:tcPr>
          <w:p w:rsidR="008974F0" w:rsidRPr="009A264B" w:rsidRDefault="008974F0" w:rsidP="00175274">
            <w:pPr>
              <w:rPr>
                <w:sz w:val="20"/>
                <w:szCs w:val="20"/>
                <w:lang w:val="uk-UA"/>
              </w:rPr>
            </w:pPr>
            <w:r w:rsidRPr="009A264B">
              <w:rPr>
                <w:sz w:val="20"/>
                <w:szCs w:val="20"/>
                <w:lang w:val="uk-UA"/>
              </w:rPr>
              <w:t>Для будівництва індивідуальних гаражів.</w:t>
            </w:r>
          </w:p>
        </w:tc>
        <w:tc>
          <w:tcPr>
            <w:tcW w:w="0" w:type="auto"/>
            <w:vAlign w:val="center"/>
          </w:tcPr>
          <w:p w:rsidR="008974F0" w:rsidRPr="009A264B" w:rsidRDefault="008974F0" w:rsidP="00175274">
            <w:pPr>
              <w:jc w:val="center"/>
              <w:rPr>
                <w:sz w:val="20"/>
                <w:szCs w:val="20"/>
                <w:lang w:val="uk-UA"/>
              </w:rPr>
            </w:pPr>
            <w:r w:rsidRPr="009A264B">
              <w:rPr>
                <w:sz w:val="20"/>
                <w:szCs w:val="20"/>
                <w:lang w:val="uk-UA"/>
              </w:rPr>
              <w:t>02.05</w:t>
            </w:r>
          </w:p>
        </w:tc>
        <w:tc>
          <w:tcPr>
            <w:tcW w:w="0" w:type="auto"/>
            <w:vAlign w:val="center"/>
          </w:tcPr>
          <w:p w:rsidR="008974F0" w:rsidRPr="009A264B" w:rsidRDefault="008974F0" w:rsidP="00175274">
            <w:pPr>
              <w:jc w:val="center"/>
              <w:rPr>
                <w:sz w:val="20"/>
                <w:szCs w:val="20"/>
                <w:lang w:val="uk-UA"/>
              </w:rPr>
            </w:pPr>
            <w:r w:rsidRPr="009A264B">
              <w:rPr>
                <w:sz w:val="20"/>
                <w:szCs w:val="20"/>
                <w:lang w:val="uk-UA"/>
              </w:rPr>
              <w:t>3 ставки зем.податку</w:t>
            </w:r>
          </w:p>
        </w:tc>
      </w:tr>
      <w:tr w:rsidR="008974F0" w:rsidRPr="009A264B" w:rsidTr="00175274">
        <w:trPr>
          <w:jc w:val="center"/>
        </w:trPr>
        <w:tc>
          <w:tcPr>
            <w:tcW w:w="0" w:type="auto"/>
            <w:vAlign w:val="center"/>
          </w:tcPr>
          <w:p w:rsidR="008974F0" w:rsidRPr="009A264B" w:rsidRDefault="008974F0" w:rsidP="00175274">
            <w:pPr>
              <w:jc w:val="center"/>
              <w:rPr>
                <w:sz w:val="20"/>
                <w:szCs w:val="20"/>
                <w:lang w:val="uk-UA"/>
              </w:rPr>
            </w:pPr>
            <w:r w:rsidRPr="009A264B">
              <w:rPr>
                <w:sz w:val="20"/>
                <w:szCs w:val="20"/>
                <w:lang w:val="uk-UA"/>
              </w:rPr>
              <w:t>3</w:t>
            </w:r>
          </w:p>
        </w:tc>
        <w:tc>
          <w:tcPr>
            <w:tcW w:w="0" w:type="auto"/>
            <w:vAlign w:val="center"/>
          </w:tcPr>
          <w:p w:rsidR="008974F0" w:rsidRPr="009A264B" w:rsidRDefault="008974F0" w:rsidP="00175274">
            <w:pPr>
              <w:rPr>
                <w:sz w:val="20"/>
                <w:szCs w:val="20"/>
                <w:lang w:val="uk-UA"/>
              </w:rPr>
            </w:pPr>
            <w:r w:rsidRPr="009A264B">
              <w:rPr>
                <w:sz w:val="20"/>
                <w:szCs w:val="20"/>
                <w:lang w:val="uk-UA"/>
              </w:rPr>
              <w:t>Для будівництва і обслуговування багатоквартирного житлового будинку.</w:t>
            </w:r>
          </w:p>
        </w:tc>
        <w:tc>
          <w:tcPr>
            <w:tcW w:w="0" w:type="auto"/>
            <w:vAlign w:val="center"/>
          </w:tcPr>
          <w:p w:rsidR="008974F0" w:rsidRPr="009A264B" w:rsidRDefault="008974F0" w:rsidP="00175274">
            <w:pPr>
              <w:jc w:val="center"/>
              <w:rPr>
                <w:sz w:val="20"/>
                <w:szCs w:val="20"/>
                <w:lang w:val="uk-UA"/>
              </w:rPr>
            </w:pPr>
            <w:r w:rsidRPr="009A264B">
              <w:rPr>
                <w:sz w:val="20"/>
                <w:szCs w:val="20"/>
                <w:lang w:val="uk-UA"/>
              </w:rPr>
              <w:t>02.03</w:t>
            </w:r>
          </w:p>
        </w:tc>
        <w:tc>
          <w:tcPr>
            <w:tcW w:w="0" w:type="auto"/>
            <w:vAlign w:val="center"/>
          </w:tcPr>
          <w:p w:rsidR="008974F0" w:rsidRPr="009A264B" w:rsidRDefault="008974F0" w:rsidP="00175274">
            <w:pPr>
              <w:jc w:val="center"/>
              <w:rPr>
                <w:sz w:val="20"/>
                <w:szCs w:val="20"/>
                <w:lang w:val="uk-UA"/>
              </w:rPr>
            </w:pPr>
            <w:r w:rsidRPr="009A264B">
              <w:rPr>
                <w:sz w:val="20"/>
                <w:szCs w:val="20"/>
                <w:lang w:val="uk-UA"/>
              </w:rPr>
              <w:t>3 ставки зем.податку</w:t>
            </w:r>
          </w:p>
        </w:tc>
      </w:tr>
      <w:tr w:rsidR="008974F0" w:rsidRPr="009A264B" w:rsidTr="00175274">
        <w:trPr>
          <w:jc w:val="center"/>
        </w:trPr>
        <w:tc>
          <w:tcPr>
            <w:tcW w:w="0" w:type="auto"/>
            <w:vAlign w:val="center"/>
          </w:tcPr>
          <w:p w:rsidR="008974F0" w:rsidRPr="009A264B" w:rsidRDefault="008974F0" w:rsidP="00175274">
            <w:pPr>
              <w:jc w:val="center"/>
              <w:rPr>
                <w:sz w:val="20"/>
                <w:szCs w:val="20"/>
                <w:lang w:val="uk-UA"/>
              </w:rPr>
            </w:pPr>
            <w:r w:rsidRPr="009A264B">
              <w:rPr>
                <w:sz w:val="20"/>
                <w:szCs w:val="20"/>
                <w:lang w:val="uk-UA"/>
              </w:rPr>
              <w:t>4</w:t>
            </w:r>
          </w:p>
        </w:tc>
        <w:tc>
          <w:tcPr>
            <w:tcW w:w="0" w:type="auto"/>
            <w:vAlign w:val="center"/>
          </w:tcPr>
          <w:p w:rsidR="008974F0" w:rsidRPr="009A264B" w:rsidRDefault="008974F0" w:rsidP="00175274">
            <w:pPr>
              <w:rPr>
                <w:sz w:val="20"/>
                <w:szCs w:val="20"/>
                <w:lang w:val="uk-UA"/>
              </w:rPr>
            </w:pPr>
            <w:r w:rsidRPr="009A264B">
              <w:rPr>
                <w:sz w:val="20"/>
                <w:szCs w:val="20"/>
                <w:lang w:val="uk-UA"/>
              </w:rPr>
              <w:t>Для будівництва та обслуговування будівель торгівлі.</w:t>
            </w:r>
          </w:p>
        </w:tc>
        <w:tc>
          <w:tcPr>
            <w:tcW w:w="0" w:type="auto"/>
            <w:vAlign w:val="center"/>
          </w:tcPr>
          <w:p w:rsidR="008974F0" w:rsidRPr="009A264B" w:rsidRDefault="008974F0" w:rsidP="00175274">
            <w:pPr>
              <w:jc w:val="center"/>
              <w:rPr>
                <w:sz w:val="20"/>
                <w:szCs w:val="20"/>
                <w:lang w:val="uk-UA"/>
              </w:rPr>
            </w:pPr>
            <w:r w:rsidRPr="009A264B">
              <w:rPr>
                <w:sz w:val="20"/>
                <w:szCs w:val="20"/>
                <w:lang w:val="uk-UA"/>
              </w:rPr>
              <w:t>03.07</w:t>
            </w:r>
          </w:p>
        </w:tc>
        <w:tc>
          <w:tcPr>
            <w:tcW w:w="0" w:type="auto"/>
            <w:vAlign w:val="center"/>
          </w:tcPr>
          <w:p w:rsidR="008974F0" w:rsidRPr="009A264B" w:rsidRDefault="008974F0" w:rsidP="00175274">
            <w:pPr>
              <w:jc w:val="center"/>
              <w:rPr>
                <w:sz w:val="20"/>
                <w:szCs w:val="20"/>
                <w:lang w:val="uk-UA"/>
              </w:rPr>
            </w:pPr>
            <w:r w:rsidRPr="009A264B">
              <w:rPr>
                <w:sz w:val="20"/>
                <w:szCs w:val="20"/>
                <w:lang w:val="uk-UA"/>
              </w:rPr>
              <w:t>5%</w:t>
            </w:r>
          </w:p>
        </w:tc>
      </w:tr>
      <w:tr w:rsidR="008974F0" w:rsidRPr="009A264B" w:rsidTr="00175274">
        <w:trPr>
          <w:jc w:val="center"/>
        </w:trPr>
        <w:tc>
          <w:tcPr>
            <w:tcW w:w="0" w:type="auto"/>
            <w:vAlign w:val="center"/>
          </w:tcPr>
          <w:p w:rsidR="008974F0" w:rsidRPr="009A264B" w:rsidRDefault="008974F0" w:rsidP="00175274">
            <w:pPr>
              <w:jc w:val="center"/>
              <w:rPr>
                <w:sz w:val="20"/>
                <w:szCs w:val="20"/>
                <w:lang w:val="uk-UA"/>
              </w:rPr>
            </w:pPr>
            <w:r w:rsidRPr="009A264B">
              <w:rPr>
                <w:sz w:val="20"/>
                <w:szCs w:val="20"/>
                <w:lang w:val="uk-UA"/>
              </w:rPr>
              <w:t>5</w:t>
            </w:r>
          </w:p>
        </w:tc>
        <w:tc>
          <w:tcPr>
            <w:tcW w:w="0" w:type="auto"/>
            <w:vAlign w:val="center"/>
          </w:tcPr>
          <w:p w:rsidR="008974F0" w:rsidRPr="009A264B" w:rsidRDefault="008974F0" w:rsidP="00175274">
            <w:pPr>
              <w:rPr>
                <w:sz w:val="20"/>
                <w:szCs w:val="20"/>
                <w:lang w:val="uk-UA"/>
              </w:rPr>
            </w:pPr>
            <w:r w:rsidRPr="009A264B">
              <w:rPr>
                <w:sz w:val="20"/>
                <w:szCs w:val="20"/>
                <w:lang w:val="uk-UA"/>
              </w:rPr>
              <w:t>Для будівництва та обслуговування об’єктів туристичної інфраструктури та закладів громадського харчування.</w:t>
            </w:r>
          </w:p>
        </w:tc>
        <w:tc>
          <w:tcPr>
            <w:tcW w:w="0" w:type="auto"/>
            <w:vAlign w:val="center"/>
          </w:tcPr>
          <w:p w:rsidR="008974F0" w:rsidRPr="009A264B" w:rsidRDefault="008974F0" w:rsidP="00175274">
            <w:pPr>
              <w:jc w:val="center"/>
              <w:rPr>
                <w:sz w:val="20"/>
                <w:szCs w:val="20"/>
                <w:lang w:val="uk-UA"/>
              </w:rPr>
            </w:pPr>
            <w:r w:rsidRPr="009A264B">
              <w:rPr>
                <w:sz w:val="20"/>
                <w:szCs w:val="20"/>
                <w:lang w:val="uk-UA"/>
              </w:rPr>
              <w:t>03.08</w:t>
            </w:r>
          </w:p>
        </w:tc>
        <w:tc>
          <w:tcPr>
            <w:tcW w:w="0" w:type="auto"/>
            <w:vAlign w:val="center"/>
          </w:tcPr>
          <w:p w:rsidR="008974F0" w:rsidRPr="009A264B" w:rsidRDefault="008974F0" w:rsidP="00175274">
            <w:pPr>
              <w:jc w:val="center"/>
              <w:rPr>
                <w:sz w:val="20"/>
                <w:szCs w:val="20"/>
                <w:lang w:val="uk-UA"/>
              </w:rPr>
            </w:pPr>
            <w:r w:rsidRPr="009A264B">
              <w:rPr>
                <w:sz w:val="20"/>
                <w:szCs w:val="20"/>
                <w:lang w:val="uk-UA"/>
              </w:rPr>
              <w:t>5%</w:t>
            </w:r>
          </w:p>
        </w:tc>
      </w:tr>
      <w:tr w:rsidR="008974F0" w:rsidRPr="009A264B" w:rsidTr="00175274">
        <w:trPr>
          <w:jc w:val="center"/>
        </w:trPr>
        <w:tc>
          <w:tcPr>
            <w:tcW w:w="0" w:type="auto"/>
            <w:vAlign w:val="center"/>
          </w:tcPr>
          <w:p w:rsidR="008974F0" w:rsidRPr="009A264B" w:rsidRDefault="008974F0" w:rsidP="00175274">
            <w:pPr>
              <w:jc w:val="center"/>
              <w:rPr>
                <w:sz w:val="20"/>
                <w:szCs w:val="20"/>
                <w:lang w:val="uk-UA"/>
              </w:rPr>
            </w:pPr>
            <w:r w:rsidRPr="009A264B">
              <w:rPr>
                <w:sz w:val="20"/>
                <w:szCs w:val="20"/>
                <w:lang w:val="uk-UA"/>
              </w:rPr>
              <w:t>6</w:t>
            </w:r>
          </w:p>
        </w:tc>
        <w:tc>
          <w:tcPr>
            <w:tcW w:w="0" w:type="auto"/>
            <w:vAlign w:val="center"/>
          </w:tcPr>
          <w:p w:rsidR="008974F0" w:rsidRPr="009A264B" w:rsidRDefault="008974F0" w:rsidP="00175274">
            <w:pPr>
              <w:rPr>
                <w:sz w:val="20"/>
                <w:szCs w:val="20"/>
                <w:lang w:val="uk-UA"/>
              </w:rPr>
            </w:pPr>
            <w:r w:rsidRPr="009A264B">
              <w:rPr>
                <w:sz w:val="20"/>
                <w:szCs w:val="20"/>
                <w:lang w:val="uk-UA"/>
              </w:rPr>
              <w:t>Для будівництва та обслуговування будівель кредитно-фінансових установ.</w:t>
            </w:r>
          </w:p>
        </w:tc>
        <w:tc>
          <w:tcPr>
            <w:tcW w:w="0" w:type="auto"/>
            <w:vAlign w:val="center"/>
          </w:tcPr>
          <w:p w:rsidR="008974F0" w:rsidRPr="009A264B" w:rsidRDefault="008974F0" w:rsidP="00175274">
            <w:pPr>
              <w:jc w:val="center"/>
              <w:rPr>
                <w:sz w:val="20"/>
                <w:szCs w:val="20"/>
                <w:lang w:val="uk-UA"/>
              </w:rPr>
            </w:pPr>
            <w:r w:rsidRPr="009A264B">
              <w:rPr>
                <w:sz w:val="20"/>
                <w:szCs w:val="20"/>
                <w:lang w:val="uk-UA"/>
              </w:rPr>
              <w:t>03.09</w:t>
            </w:r>
          </w:p>
        </w:tc>
        <w:tc>
          <w:tcPr>
            <w:tcW w:w="0" w:type="auto"/>
            <w:vAlign w:val="center"/>
          </w:tcPr>
          <w:p w:rsidR="008974F0" w:rsidRPr="009A264B" w:rsidRDefault="008974F0" w:rsidP="00175274">
            <w:pPr>
              <w:jc w:val="center"/>
              <w:rPr>
                <w:sz w:val="20"/>
                <w:szCs w:val="20"/>
                <w:lang w:val="uk-UA"/>
              </w:rPr>
            </w:pPr>
            <w:r w:rsidRPr="009A264B">
              <w:rPr>
                <w:sz w:val="20"/>
                <w:szCs w:val="20"/>
                <w:lang w:val="uk-UA"/>
              </w:rPr>
              <w:t>7%</w:t>
            </w:r>
          </w:p>
        </w:tc>
      </w:tr>
      <w:tr w:rsidR="008974F0" w:rsidRPr="009A264B" w:rsidTr="00175274">
        <w:trPr>
          <w:jc w:val="center"/>
        </w:trPr>
        <w:tc>
          <w:tcPr>
            <w:tcW w:w="0" w:type="auto"/>
            <w:vAlign w:val="center"/>
          </w:tcPr>
          <w:p w:rsidR="008974F0" w:rsidRPr="009A264B" w:rsidRDefault="008974F0" w:rsidP="00175274">
            <w:pPr>
              <w:jc w:val="center"/>
              <w:rPr>
                <w:sz w:val="20"/>
                <w:szCs w:val="20"/>
                <w:lang w:val="uk-UA"/>
              </w:rPr>
            </w:pPr>
            <w:r w:rsidRPr="009A264B">
              <w:rPr>
                <w:sz w:val="20"/>
                <w:szCs w:val="20"/>
                <w:lang w:val="uk-UA"/>
              </w:rPr>
              <w:t>7</w:t>
            </w:r>
          </w:p>
        </w:tc>
        <w:tc>
          <w:tcPr>
            <w:tcW w:w="0" w:type="auto"/>
            <w:vAlign w:val="center"/>
          </w:tcPr>
          <w:p w:rsidR="008974F0" w:rsidRPr="009A264B" w:rsidRDefault="008974F0" w:rsidP="00175274">
            <w:pPr>
              <w:rPr>
                <w:sz w:val="20"/>
                <w:szCs w:val="20"/>
                <w:lang w:val="uk-UA"/>
              </w:rPr>
            </w:pPr>
            <w:r w:rsidRPr="009A264B">
              <w:rPr>
                <w:sz w:val="20"/>
                <w:szCs w:val="20"/>
                <w:lang w:val="uk-UA"/>
              </w:rPr>
              <w:t>Для будівництва та обслуговування будівель закладів побутового обслуговування.</w:t>
            </w:r>
          </w:p>
        </w:tc>
        <w:tc>
          <w:tcPr>
            <w:tcW w:w="0" w:type="auto"/>
            <w:vAlign w:val="center"/>
          </w:tcPr>
          <w:p w:rsidR="008974F0" w:rsidRPr="009A264B" w:rsidRDefault="008974F0" w:rsidP="00175274">
            <w:pPr>
              <w:jc w:val="center"/>
              <w:rPr>
                <w:sz w:val="20"/>
                <w:szCs w:val="20"/>
                <w:lang w:val="uk-UA"/>
              </w:rPr>
            </w:pPr>
            <w:r w:rsidRPr="009A264B">
              <w:rPr>
                <w:sz w:val="20"/>
                <w:szCs w:val="20"/>
                <w:lang w:val="uk-UA"/>
              </w:rPr>
              <w:t>03.13</w:t>
            </w:r>
          </w:p>
        </w:tc>
        <w:tc>
          <w:tcPr>
            <w:tcW w:w="0" w:type="auto"/>
            <w:vAlign w:val="center"/>
          </w:tcPr>
          <w:p w:rsidR="008974F0" w:rsidRPr="009A264B" w:rsidRDefault="008974F0" w:rsidP="00175274">
            <w:pPr>
              <w:jc w:val="center"/>
              <w:rPr>
                <w:sz w:val="20"/>
                <w:szCs w:val="20"/>
                <w:lang w:val="uk-UA"/>
              </w:rPr>
            </w:pPr>
            <w:r w:rsidRPr="009A264B">
              <w:rPr>
                <w:sz w:val="20"/>
                <w:szCs w:val="20"/>
                <w:lang w:val="uk-UA"/>
              </w:rPr>
              <w:t>5%</w:t>
            </w:r>
          </w:p>
        </w:tc>
      </w:tr>
      <w:tr w:rsidR="008974F0" w:rsidRPr="009A264B" w:rsidTr="00175274">
        <w:trPr>
          <w:jc w:val="center"/>
        </w:trPr>
        <w:tc>
          <w:tcPr>
            <w:tcW w:w="0" w:type="auto"/>
            <w:vAlign w:val="center"/>
          </w:tcPr>
          <w:p w:rsidR="008974F0" w:rsidRPr="009A264B" w:rsidRDefault="008974F0" w:rsidP="00175274">
            <w:pPr>
              <w:jc w:val="center"/>
              <w:rPr>
                <w:sz w:val="20"/>
                <w:szCs w:val="20"/>
                <w:lang w:val="uk-UA"/>
              </w:rPr>
            </w:pPr>
            <w:r w:rsidRPr="009A264B">
              <w:rPr>
                <w:sz w:val="20"/>
                <w:szCs w:val="20"/>
                <w:lang w:val="uk-UA"/>
              </w:rPr>
              <w:t>8</w:t>
            </w:r>
          </w:p>
        </w:tc>
        <w:tc>
          <w:tcPr>
            <w:tcW w:w="0" w:type="auto"/>
            <w:vAlign w:val="center"/>
          </w:tcPr>
          <w:p w:rsidR="008974F0" w:rsidRPr="009A264B" w:rsidRDefault="008974F0" w:rsidP="00175274">
            <w:pPr>
              <w:rPr>
                <w:sz w:val="20"/>
                <w:szCs w:val="20"/>
                <w:lang w:val="uk-UA"/>
              </w:rPr>
            </w:pPr>
            <w:r w:rsidRPr="009A264B">
              <w:rPr>
                <w:sz w:val="20"/>
                <w:szCs w:val="20"/>
                <w:lang w:val="uk-UA"/>
              </w:rPr>
              <w:t>Для будівництва та обслуговування інших будівель громадської забудови.</w:t>
            </w:r>
          </w:p>
        </w:tc>
        <w:tc>
          <w:tcPr>
            <w:tcW w:w="0" w:type="auto"/>
            <w:vAlign w:val="center"/>
          </w:tcPr>
          <w:p w:rsidR="008974F0" w:rsidRPr="009A264B" w:rsidRDefault="008974F0" w:rsidP="00175274">
            <w:pPr>
              <w:jc w:val="center"/>
              <w:rPr>
                <w:sz w:val="20"/>
                <w:szCs w:val="20"/>
                <w:lang w:val="uk-UA"/>
              </w:rPr>
            </w:pPr>
            <w:r w:rsidRPr="009A264B">
              <w:rPr>
                <w:sz w:val="20"/>
                <w:szCs w:val="20"/>
                <w:lang w:val="uk-UA"/>
              </w:rPr>
              <w:t>03.14</w:t>
            </w:r>
          </w:p>
        </w:tc>
        <w:tc>
          <w:tcPr>
            <w:tcW w:w="0" w:type="auto"/>
            <w:vAlign w:val="center"/>
          </w:tcPr>
          <w:p w:rsidR="008974F0" w:rsidRPr="009A264B" w:rsidRDefault="008974F0" w:rsidP="00175274">
            <w:pPr>
              <w:jc w:val="center"/>
              <w:rPr>
                <w:sz w:val="20"/>
                <w:szCs w:val="20"/>
                <w:lang w:val="uk-UA"/>
              </w:rPr>
            </w:pPr>
            <w:r w:rsidRPr="009A264B">
              <w:rPr>
                <w:sz w:val="20"/>
                <w:szCs w:val="20"/>
                <w:lang w:val="uk-UA"/>
              </w:rPr>
              <w:t>5%</w:t>
            </w:r>
          </w:p>
        </w:tc>
      </w:tr>
      <w:tr w:rsidR="008974F0" w:rsidRPr="009A264B" w:rsidTr="00175274">
        <w:trPr>
          <w:jc w:val="center"/>
        </w:trPr>
        <w:tc>
          <w:tcPr>
            <w:tcW w:w="0" w:type="auto"/>
            <w:vAlign w:val="center"/>
          </w:tcPr>
          <w:p w:rsidR="008974F0" w:rsidRPr="009A264B" w:rsidRDefault="008974F0" w:rsidP="00175274">
            <w:pPr>
              <w:jc w:val="center"/>
              <w:rPr>
                <w:b/>
                <w:sz w:val="20"/>
                <w:szCs w:val="20"/>
                <w:lang w:val="uk-UA"/>
              </w:rPr>
            </w:pPr>
            <w:r w:rsidRPr="009A264B">
              <w:rPr>
                <w:b/>
                <w:sz w:val="20"/>
                <w:szCs w:val="20"/>
                <w:lang w:val="uk-UA"/>
              </w:rPr>
              <w:t>ІІІ</w:t>
            </w:r>
          </w:p>
        </w:tc>
        <w:tc>
          <w:tcPr>
            <w:tcW w:w="0" w:type="auto"/>
            <w:vAlign w:val="center"/>
          </w:tcPr>
          <w:p w:rsidR="008974F0" w:rsidRPr="009A264B" w:rsidRDefault="008974F0" w:rsidP="00175274">
            <w:pPr>
              <w:rPr>
                <w:b/>
                <w:sz w:val="20"/>
                <w:szCs w:val="20"/>
                <w:lang w:val="uk-UA"/>
              </w:rPr>
            </w:pPr>
            <w:r w:rsidRPr="009A264B">
              <w:rPr>
                <w:b/>
                <w:sz w:val="20"/>
                <w:szCs w:val="20"/>
                <w:lang w:val="uk-UA"/>
              </w:rPr>
              <w:t>Землі промисловості.</w:t>
            </w:r>
          </w:p>
        </w:tc>
        <w:tc>
          <w:tcPr>
            <w:tcW w:w="0" w:type="auto"/>
            <w:vAlign w:val="center"/>
          </w:tcPr>
          <w:p w:rsidR="008974F0" w:rsidRPr="009A264B" w:rsidRDefault="008974F0" w:rsidP="00175274">
            <w:pPr>
              <w:jc w:val="center"/>
              <w:rPr>
                <w:sz w:val="20"/>
                <w:szCs w:val="20"/>
                <w:lang w:val="uk-UA"/>
              </w:rPr>
            </w:pPr>
          </w:p>
        </w:tc>
        <w:tc>
          <w:tcPr>
            <w:tcW w:w="0" w:type="auto"/>
            <w:vAlign w:val="center"/>
          </w:tcPr>
          <w:p w:rsidR="008974F0" w:rsidRPr="009A264B" w:rsidRDefault="008974F0" w:rsidP="00175274">
            <w:pPr>
              <w:jc w:val="center"/>
              <w:rPr>
                <w:sz w:val="20"/>
                <w:szCs w:val="20"/>
                <w:lang w:val="uk-UA"/>
              </w:rPr>
            </w:pPr>
          </w:p>
        </w:tc>
      </w:tr>
      <w:tr w:rsidR="008974F0" w:rsidRPr="009A264B" w:rsidTr="00175274">
        <w:trPr>
          <w:trHeight w:val="977"/>
          <w:jc w:val="center"/>
        </w:trPr>
        <w:tc>
          <w:tcPr>
            <w:tcW w:w="0" w:type="auto"/>
            <w:vAlign w:val="center"/>
          </w:tcPr>
          <w:p w:rsidR="008974F0" w:rsidRPr="009A264B" w:rsidRDefault="008974F0" w:rsidP="00175274">
            <w:pPr>
              <w:spacing w:line="240" w:lineRule="atLeast"/>
              <w:jc w:val="center"/>
              <w:rPr>
                <w:sz w:val="20"/>
                <w:szCs w:val="20"/>
                <w:lang w:val="uk-UA"/>
              </w:rPr>
            </w:pPr>
            <w:r w:rsidRPr="009A264B">
              <w:rPr>
                <w:sz w:val="20"/>
                <w:szCs w:val="20"/>
                <w:lang w:val="uk-UA"/>
              </w:rPr>
              <w:t>1</w:t>
            </w:r>
          </w:p>
        </w:tc>
        <w:tc>
          <w:tcPr>
            <w:tcW w:w="0" w:type="auto"/>
            <w:vAlign w:val="center"/>
          </w:tcPr>
          <w:p w:rsidR="008974F0" w:rsidRPr="009A264B" w:rsidRDefault="008974F0" w:rsidP="00175274">
            <w:pPr>
              <w:spacing w:line="240" w:lineRule="atLeast"/>
              <w:rPr>
                <w:sz w:val="20"/>
                <w:szCs w:val="20"/>
                <w:lang w:val="uk-UA"/>
              </w:rPr>
            </w:pPr>
            <w:r w:rsidRPr="009A264B">
              <w:rPr>
                <w:sz w:val="20"/>
                <w:szCs w:val="20"/>
                <w:lang w:val="uk-UA"/>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rsidR="008974F0" w:rsidRPr="009A264B" w:rsidRDefault="008974F0" w:rsidP="00175274">
            <w:pPr>
              <w:spacing w:line="240" w:lineRule="atLeast"/>
              <w:rPr>
                <w:sz w:val="20"/>
                <w:szCs w:val="20"/>
                <w:lang w:val="uk-UA"/>
              </w:rPr>
            </w:pPr>
          </w:p>
        </w:tc>
        <w:tc>
          <w:tcPr>
            <w:tcW w:w="0" w:type="auto"/>
            <w:vAlign w:val="center"/>
          </w:tcPr>
          <w:p w:rsidR="008974F0" w:rsidRPr="009A264B" w:rsidRDefault="008974F0" w:rsidP="00175274">
            <w:pPr>
              <w:spacing w:line="240" w:lineRule="atLeast"/>
              <w:jc w:val="center"/>
              <w:rPr>
                <w:sz w:val="20"/>
                <w:szCs w:val="20"/>
                <w:lang w:val="uk-UA"/>
              </w:rPr>
            </w:pPr>
            <w:r w:rsidRPr="009A264B">
              <w:rPr>
                <w:sz w:val="20"/>
                <w:szCs w:val="20"/>
                <w:lang w:val="uk-UA"/>
              </w:rPr>
              <w:t>11.02</w:t>
            </w:r>
          </w:p>
          <w:p w:rsidR="008974F0" w:rsidRPr="009A264B" w:rsidRDefault="008974F0" w:rsidP="00175274">
            <w:pPr>
              <w:spacing w:line="240" w:lineRule="atLeast"/>
              <w:jc w:val="center"/>
              <w:rPr>
                <w:sz w:val="20"/>
                <w:szCs w:val="20"/>
                <w:lang w:val="uk-UA"/>
              </w:rPr>
            </w:pPr>
          </w:p>
          <w:p w:rsidR="008974F0" w:rsidRPr="009A264B" w:rsidRDefault="008974F0" w:rsidP="00175274">
            <w:pPr>
              <w:spacing w:line="240" w:lineRule="atLeast"/>
              <w:jc w:val="center"/>
              <w:rPr>
                <w:sz w:val="20"/>
                <w:szCs w:val="20"/>
                <w:lang w:val="uk-UA"/>
              </w:rPr>
            </w:pPr>
          </w:p>
        </w:tc>
        <w:tc>
          <w:tcPr>
            <w:tcW w:w="0" w:type="auto"/>
            <w:vAlign w:val="center"/>
          </w:tcPr>
          <w:p w:rsidR="008974F0" w:rsidRPr="009A264B" w:rsidRDefault="008974F0" w:rsidP="00175274">
            <w:pPr>
              <w:spacing w:line="240" w:lineRule="atLeast"/>
              <w:jc w:val="center"/>
              <w:rPr>
                <w:sz w:val="20"/>
                <w:szCs w:val="20"/>
                <w:lang w:val="uk-UA"/>
              </w:rPr>
            </w:pPr>
            <w:r w:rsidRPr="009A264B">
              <w:rPr>
                <w:sz w:val="20"/>
                <w:szCs w:val="20"/>
                <w:lang w:val="uk-UA"/>
              </w:rPr>
              <w:t>3%</w:t>
            </w:r>
          </w:p>
          <w:p w:rsidR="008974F0" w:rsidRPr="009A264B" w:rsidRDefault="008974F0" w:rsidP="00175274">
            <w:pPr>
              <w:spacing w:line="240" w:lineRule="atLeast"/>
              <w:jc w:val="center"/>
              <w:rPr>
                <w:sz w:val="20"/>
                <w:szCs w:val="20"/>
                <w:lang w:val="uk-UA"/>
              </w:rPr>
            </w:pPr>
          </w:p>
        </w:tc>
      </w:tr>
      <w:tr w:rsidR="008974F0" w:rsidRPr="009A264B" w:rsidTr="00175274">
        <w:trPr>
          <w:jc w:val="center"/>
        </w:trPr>
        <w:tc>
          <w:tcPr>
            <w:tcW w:w="0" w:type="auto"/>
            <w:vAlign w:val="center"/>
          </w:tcPr>
          <w:p w:rsidR="008974F0" w:rsidRPr="009A264B" w:rsidRDefault="008974F0" w:rsidP="00175274">
            <w:pPr>
              <w:jc w:val="center"/>
              <w:rPr>
                <w:sz w:val="20"/>
                <w:szCs w:val="20"/>
                <w:lang w:val="uk-UA"/>
              </w:rPr>
            </w:pPr>
            <w:r w:rsidRPr="009A264B">
              <w:rPr>
                <w:sz w:val="20"/>
                <w:szCs w:val="20"/>
                <w:lang w:val="uk-UA"/>
              </w:rPr>
              <w:t>2</w:t>
            </w:r>
          </w:p>
        </w:tc>
        <w:tc>
          <w:tcPr>
            <w:tcW w:w="0" w:type="auto"/>
            <w:vAlign w:val="center"/>
          </w:tcPr>
          <w:p w:rsidR="008974F0" w:rsidRPr="009A264B" w:rsidRDefault="008974F0" w:rsidP="00175274">
            <w:pPr>
              <w:rPr>
                <w:sz w:val="20"/>
                <w:szCs w:val="20"/>
                <w:lang w:val="uk-UA"/>
              </w:rPr>
            </w:pPr>
            <w:r w:rsidRPr="009A264B">
              <w:rPr>
                <w:sz w:val="20"/>
                <w:szCs w:val="20"/>
                <w:lang w:val="uk-UA"/>
              </w:rPr>
              <w:t>Для розміщення та експлуатації основних підсобних і допоміжних будівель та споруд технічної інфраструктури.</w:t>
            </w:r>
          </w:p>
        </w:tc>
        <w:tc>
          <w:tcPr>
            <w:tcW w:w="0" w:type="auto"/>
            <w:vAlign w:val="center"/>
          </w:tcPr>
          <w:p w:rsidR="008974F0" w:rsidRPr="009A264B" w:rsidRDefault="008974F0" w:rsidP="00175274">
            <w:pPr>
              <w:jc w:val="center"/>
              <w:rPr>
                <w:sz w:val="20"/>
                <w:szCs w:val="20"/>
                <w:lang w:val="uk-UA"/>
              </w:rPr>
            </w:pPr>
            <w:r w:rsidRPr="009A264B">
              <w:rPr>
                <w:sz w:val="20"/>
                <w:szCs w:val="20"/>
                <w:lang w:val="uk-UA"/>
              </w:rPr>
              <w:t>11.04</w:t>
            </w:r>
          </w:p>
        </w:tc>
        <w:tc>
          <w:tcPr>
            <w:tcW w:w="0" w:type="auto"/>
            <w:vAlign w:val="center"/>
          </w:tcPr>
          <w:p w:rsidR="008974F0" w:rsidRPr="009A264B" w:rsidRDefault="008974F0" w:rsidP="00175274">
            <w:pPr>
              <w:jc w:val="center"/>
              <w:rPr>
                <w:sz w:val="20"/>
                <w:szCs w:val="20"/>
                <w:lang w:val="uk-UA"/>
              </w:rPr>
            </w:pPr>
            <w:r w:rsidRPr="009A264B">
              <w:rPr>
                <w:sz w:val="20"/>
                <w:szCs w:val="20"/>
                <w:lang w:val="uk-UA"/>
              </w:rPr>
              <w:t>3%</w:t>
            </w:r>
          </w:p>
        </w:tc>
      </w:tr>
      <w:tr w:rsidR="008974F0" w:rsidRPr="009A264B" w:rsidTr="00175274">
        <w:trPr>
          <w:jc w:val="center"/>
        </w:trPr>
        <w:tc>
          <w:tcPr>
            <w:tcW w:w="0" w:type="auto"/>
            <w:vAlign w:val="center"/>
          </w:tcPr>
          <w:p w:rsidR="008974F0" w:rsidRPr="009A264B" w:rsidRDefault="008974F0" w:rsidP="00175274">
            <w:pPr>
              <w:jc w:val="center"/>
              <w:rPr>
                <w:b/>
                <w:sz w:val="20"/>
                <w:szCs w:val="20"/>
                <w:lang w:val="uk-UA"/>
              </w:rPr>
            </w:pPr>
            <w:r w:rsidRPr="009A264B">
              <w:rPr>
                <w:b/>
                <w:sz w:val="20"/>
                <w:szCs w:val="20"/>
                <w:lang w:val="uk-UA"/>
              </w:rPr>
              <w:t>ІV</w:t>
            </w:r>
          </w:p>
        </w:tc>
        <w:tc>
          <w:tcPr>
            <w:tcW w:w="0" w:type="auto"/>
            <w:vAlign w:val="center"/>
          </w:tcPr>
          <w:p w:rsidR="008974F0" w:rsidRPr="009A264B" w:rsidRDefault="008974F0" w:rsidP="00175274">
            <w:pPr>
              <w:rPr>
                <w:b/>
                <w:sz w:val="20"/>
                <w:szCs w:val="20"/>
                <w:lang w:val="uk-UA"/>
              </w:rPr>
            </w:pPr>
            <w:r w:rsidRPr="009A264B">
              <w:rPr>
                <w:b/>
                <w:sz w:val="20"/>
                <w:szCs w:val="20"/>
                <w:lang w:val="uk-UA"/>
              </w:rPr>
              <w:t>Землі зв’язку.</w:t>
            </w:r>
          </w:p>
        </w:tc>
        <w:tc>
          <w:tcPr>
            <w:tcW w:w="0" w:type="auto"/>
            <w:vAlign w:val="center"/>
          </w:tcPr>
          <w:p w:rsidR="008974F0" w:rsidRPr="009A264B" w:rsidRDefault="008974F0" w:rsidP="00175274">
            <w:pPr>
              <w:jc w:val="center"/>
              <w:rPr>
                <w:sz w:val="20"/>
                <w:szCs w:val="20"/>
                <w:lang w:val="uk-UA"/>
              </w:rPr>
            </w:pPr>
          </w:p>
        </w:tc>
        <w:tc>
          <w:tcPr>
            <w:tcW w:w="0" w:type="auto"/>
            <w:vAlign w:val="center"/>
          </w:tcPr>
          <w:p w:rsidR="008974F0" w:rsidRPr="009A264B" w:rsidRDefault="008974F0" w:rsidP="00175274">
            <w:pPr>
              <w:jc w:val="center"/>
              <w:rPr>
                <w:sz w:val="20"/>
                <w:szCs w:val="20"/>
                <w:lang w:val="uk-UA"/>
              </w:rPr>
            </w:pPr>
          </w:p>
        </w:tc>
      </w:tr>
      <w:tr w:rsidR="008974F0" w:rsidRPr="009A264B" w:rsidTr="00175274">
        <w:trPr>
          <w:jc w:val="center"/>
        </w:trPr>
        <w:tc>
          <w:tcPr>
            <w:tcW w:w="0" w:type="auto"/>
            <w:vAlign w:val="center"/>
          </w:tcPr>
          <w:p w:rsidR="008974F0" w:rsidRPr="009A264B" w:rsidRDefault="008974F0" w:rsidP="00175274">
            <w:pPr>
              <w:jc w:val="center"/>
              <w:rPr>
                <w:sz w:val="20"/>
                <w:szCs w:val="20"/>
                <w:lang w:val="uk-UA"/>
              </w:rPr>
            </w:pPr>
            <w:r w:rsidRPr="009A264B">
              <w:rPr>
                <w:sz w:val="20"/>
                <w:szCs w:val="20"/>
                <w:lang w:val="uk-UA"/>
              </w:rPr>
              <w:t>1</w:t>
            </w:r>
          </w:p>
        </w:tc>
        <w:tc>
          <w:tcPr>
            <w:tcW w:w="0" w:type="auto"/>
            <w:vAlign w:val="center"/>
          </w:tcPr>
          <w:p w:rsidR="008974F0" w:rsidRPr="009A264B" w:rsidRDefault="008974F0" w:rsidP="00175274">
            <w:pPr>
              <w:rPr>
                <w:sz w:val="20"/>
                <w:szCs w:val="20"/>
                <w:lang w:val="uk-UA"/>
              </w:rPr>
            </w:pPr>
            <w:r w:rsidRPr="009A264B">
              <w:rPr>
                <w:sz w:val="20"/>
                <w:szCs w:val="20"/>
                <w:lang w:val="uk-UA"/>
              </w:rPr>
              <w:t>Для розміщення та експлуатації об’єктів і споруд телекомунікацій.</w:t>
            </w:r>
          </w:p>
        </w:tc>
        <w:tc>
          <w:tcPr>
            <w:tcW w:w="0" w:type="auto"/>
            <w:vAlign w:val="center"/>
          </w:tcPr>
          <w:p w:rsidR="008974F0" w:rsidRPr="009A264B" w:rsidRDefault="008974F0" w:rsidP="00175274">
            <w:pPr>
              <w:jc w:val="center"/>
              <w:rPr>
                <w:sz w:val="20"/>
                <w:szCs w:val="20"/>
                <w:lang w:val="uk-UA"/>
              </w:rPr>
            </w:pPr>
            <w:r w:rsidRPr="009A264B">
              <w:rPr>
                <w:sz w:val="20"/>
                <w:szCs w:val="20"/>
                <w:lang w:val="uk-UA"/>
              </w:rPr>
              <w:t>13.01</w:t>
            </w:r>
          </w:p>
        </w:tc>
        <w:tc>
          <w:tcPr>
            <w:tcW w:w="0" w:type="auto"/>
            <w:vAlign w:val="center"/>
          </w:tcPr>
          <w:p w:rsidR="008974F0" w:rsidRPr="009A264B" w:rsidRDefault="008974F0" w:rsidP="00175274">
            <w:pPr>
              <w:jc w:val="center"/>
              <w:rPr>
                <w:sz w:val="20"/>
                <w:szCs w:val="20"/>
                <w:lang w:val="uk-UA"/>
              </w:rPr>
            </w:pPr>
            <w:r w:rsidRPr="009A264B">
              <w:rPr>
                <w:sz w:val="20"/>
                <w:szCs w:val="20"/>
                <w:lang w:val="uk-UA"/>
              </w:rPr>
              <w:t>7%</w:t>
            </w:r>
          </w:p>
        </w:tc>
      </w:tr>
      <w:tr w:rsidR="008974F0" w:rsidRPr="009A264B" w:rsidTr="00175274">
        <w:trPr>
          <w:jc w:val="center"/>
        </w:trPr>
        <w:tc>
          <w:tcPr>
            <w:tcW w:w="0" w:type="auto"/>
            <w:vAlign w:val="center"/>
          </w:tcPr>
          <w:p w:rsidR="008974F0" w:rsidRPr="009A264B" w:rsidRDefault="008974F0" w:rsidP="00175274">
            <w:pPr>
              <w:jc w:val="center"/>
              <w:rPr>
                <w:sz w:val="20"/>
                <w:szCs w:val="20"/>
                <w:lang w:val="uk-UA"/>
              </w:rPr>
            </w:pPr>
            <w:r w:rsidRPr="009A264B">
              <w:rPr>
                <w:sz w:val="20"/>
                <w:szCs w:val="20"/>
                <w:lang w:val="uk-UA"/>
              </w:rPr>
              <w:t>2</w:t>
            </w:r>
          </w:p>
        </w:tc>
        <w:tc>
          <w:tcPr>
            <w:tcW w:w="0" w:type="auto"/>
            <w:vAlign w:val="center"/>
          </w:tcPr>
          <w:p w:rsidR="008974F0" w:rsidRPr="009A264B" w:rsidRDefault="008974F0" w:rsidP="00175274">
            <w:pPr>
              <w:rPr>
                <w:sz w:val="20"/>
                <w:szCs w:val="20"/>
                <w:lang w:val="uk-UA"/>
              </w:rPr>
            </w:pPr>
            <w:r w:rsidRPr="009A264B">
              <w:rPr>
                <w:sz w:val="20"/>
                <w:szCs w:val="20"/>
                <w:lang w:val="uk-UA"/>
              </w:rPr>
              <w:t xml:space="preserve">Для розміщення та експлуатації інших технічних засобів зв’язку </w:t>
            </w:r>
          </w:p>
        </w:tc>
        <w:tc>
          <w:tcPr>
            <w:tcW w:w="0" w:type="auto"/>
            <w:vAlign w:val="center"/>
          </w:tcPr>
          <w:p w:rsidR="008974F0" w:rsidRPr="009A264B" w:rsidRDefault="008974F0" w:rsidP="00175274">
            <w:pPr>
              <w:jc w:val="center"/>
              <w:rPr>
                <w:sz w:val="20"/>
                <w:szCs w:val="20"/>
                <w:lang w:val="uk-UA"/>
              </w:rPr>
            </w:pPr>
            <w:r w:rsidRPr="009A264B">
              <w:rPr>
                <w:sz w:val="20"/>
                <w:szCs w:val="20"/>
                <w:lang w:val="uk-UA"/>
              </w:rPr>
              <w:t>13.02</w:t>
            </w:r>
          </w:p>
        </w:tc>
        <w:tc>
          <w:tcPr>
            <w:tcW w:w="0" w:type="auto"/>
            <w:vAlign w:val="center"/>
          </w:tcPr>
          <w:p w:rsidR="008974F0" w:rsidRPr="009A264B" w:rsidRDefault="008974F0" w:rsidP="00175274">
            <w:pPr>
              <w:jc w:val="center"/>
              <w:rPr>
                <w:sz w:val="20"/>
                <w:szCs w:val="20"/>
                <w:lang w:val="uk-UA"/>
              </w:rPr>
            </w:pPr>
            <w:r w:rsidRPr="009A264B">
              <w:rPr>
                <w:sz w:val="20"/>
                <w:szCs w:val="20"/>
                <w:lang w:val="uk-UA"/>
              </w:rPr>
              <w:t>7%</w:t>
            </w:r>
          </w:p>
        </w:tc>
      </w:tr>
      <w:tr w:rsidR="008974F0" w:rsidRPr="009A264B" w:rsidTr="00175274">
        <w:trPr>
          <w:jc w:val="center"/>
        </w:trPr>
        <w:tc>
          <w:tcPr>
            <w:tcW w:w="0" w:type="auto"/>
            <w:vAlign w:val="center"/>
          </w:tcPr>
          <w:p w:rsidR="008974F0" w:rsidRPr="009A264B" w:rsidRDefault="008974F0" w:rsidP="00175274">
            <w:pPr>
              <w:jc w:val="center"/>
              <w:rPr>
                <w:b/>
                <w:sz w:val="20"/>
                <w:szCs w:val="20"/>
                <w:lang w:val="uk-UA"/>
              </w:rPr>
            </w:pPr>
            <w:r w:rsidRPr="009A264B">
              <w:rPr>
                <w:b/>
                <w:sz w:val="20"/>
                <w:szCs w:val="20"/>
                <w:lang w:val="uk-UA"/>
              </w:rPr>
              <w:t>V</w:t>
            </w:r>
          </w:p>
        </w:tc>
        <w:tc>
          <w:tcPr>
            <w:tcW w:w="0" w:type="auto"/>
            <w:vAlign w:val="center"/>
          </w:tcPr>
          <w:p w:rsidR="008974F0" w:rsidRPr="009A264B" w:rsidRDefault="008974F0" w:rsidP="00175274">
            <w:pPr>
              <w:rPr>
                <w:b/>
                <w:sz w:val="20"/>
                <w:szCs w:val="20"/>
                <w:lang w:val="uk-UA"/>
              </w:rPr>
            </w:pPr>
            <w:r w:rsidRPr="009A264B">
              <w:rPr>
                <w:b/>
                <w:sz w:val="20"/>
                <w:szCs w:val="20"/>
                <w:lang w:val="uk-UA"/>
              </w:rPr>
              <w:t>Землі енергетики.</w:t>
            </w:r>
          </w:p>
        </w:tc>
        <w:tc>
          <w:tcPr>
            <w:tcW w:w="0" w:type="auto"/>
            <w:vAlign w:val="center"/>
          </w:tcPr>
          <w:p w:rsidR="008974F0" w:rsidRPr="009A264B" w:rsidRDefault="008974F0" w:rsidP="00175274">
            <w:pPr>
              <w:jc w:val="center"/>
              <w:rPr>
                <w:sz w:val="20"/>
                <w:szCs w:val="20"/>
                <w:lang w:val="uk-UA"/>
              </w:rPr>
            </w:pPr>
          </w:p>
        </w:tc>
        <w:tc>
          <w:tcPr>
            <w:tcW w:w="0" w:type="auto"/>
            <w:vAlign w:val="center"/>
          </w:tcPr>
          <w:p w:rsidR="008974F0" w:rsidRPr="009A264B" w:rsidRDefault="008974F0" w:rsidP="00175274">
            <w:pPr>
              <w:jc w:val="center"/>
              <w:rPr>
                <w:sz w:val="20"/>
                <w:szCs w:val="20"/>
                <w:lang w:val="uk-UA"/>
              </w:rPr>
            </w:pPr>
          </w:p>
        </w:tc>
      </w:tr>
      <w:tr w:rsidR="008974F0" w:rsidRPr="009A264B" w:rsidTr="00175274">
        <w:trPr>
          <w:jc w:val="center"/>
        </w:trPr>
        <w:tc>
          <w:tcPr>
            <w:tcW w:w="0" w:type="auto"/>
            <w:vAlign w:val="center"/>
          </w:tcPr>
          <w:p w:rsidR="008974F0" w:rsidRPr="009A264B" w:rsidRDefault="008974F0" w:rsidP="00175274">
            <w:pPr>
              <w:jc w:val="center"/>
              <w:rPr>
                <w:sz w:val="20"/>
                <w:szCs w:val="20"/>
                <w:lang w:val="uk-UA"/>
              </w:rPr>
            </w:pPr>
          </w:p>
        </w:tc>
        <w:tc>
          <w:tcPr>
            <w:tcW w:w="0" w:type="auto"/>
            <w:vAlign w:val="center"/>
          </w:tcPr>
          <w:p w:rsidR="008974F0" w:rsidRPr="009A264B" w:rsidRDefault="008974F0" w:rsidP="00175274">
            <w:pPr>
              <w:rPr>
                <w:sz w:val="20"/>
                <w:szCs w:val="20"/>
                <w:lang w:val="uk-UA"/>
              </w:rPr>
            </w:pPr>
            <w:r w:rsidRPr="009A264B">
              <w:rPr>
                <w:sz w:val="20"/>
                <w:szCs w:val="20"/>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0" w:type="auto"/>
            <w:vAlign w:val="center"/>
          </w:tcPr>
          <w:p w:rsidR="008974F0" w:rsidRPr="009A264B" w:rsidRDefault="008974F0" w:rsidP="00175274">
            <w:pPr>
              <w:jc w:val="center"/>
              <w:rPr>
                <w:sz w:val="20"/>
                <w:szCs w:val="20"/>
                <w:lang w:val="uk-UA"/>
              </w:rPr>
            </w:pPr>
            <w:r w:rsidRPr="009A264B">
              <w:rPr>
                <w:sz w:val="20"/>
                <w:szCs w:val="20"/>
                <w:lang w:val="uk-UA"/>
              </w:rPr>
              <w:t>14.02</w:t>
            </w:r>
          </w:p>
        </w:tc>
        <w:tc>
          <w:tcPr>
            <w:tcW w:w="0" w:type="auto"/>
            <w:vAlign w:val="center"/>
          </w:tcPr>
          <w:p w:rsidR="008974F0" w:rsidRPr="009A264B" w:rsidRDefault="008974F0" w:rsidP="00175274">
            <w:pPr>
              <w:jc w:val="center"/>
              <w:rPr>
                <w:sz w:val="20"/>
                <w:szCs w:val="20"/>
                <w:lang w:val="uk-UA"/>
              </w:rPr>
            </w:pPr>
            <w:r w:rsidRPr="009A264B">
              <w:rPr>
                <w:sz w:val="20"/>
                <w:szCs w:val="20"/>
                <w:lang w:val="uk-UA"/>
              </w:rPr>
              <w:t>7%</w:t>
            </w:r>
          </w:p>
        </w:tc>
      </w:tr>
    </w:tbl>
    <w:p w:rsidR="008974F0" w:rsidRPr="009A264B" w:rsidRDefault="008974F0" w:rsidP="002A3DDF">
      <w:pPr>
        <w:pStyle w:val="rvps2"/>
        <w:spacing w:before="0" w:beforeAutospacing="0" w:after="0" w:afterAutospacing="0" w:line="120" w:lineRule="auto"/>
        <w:jc w:val="both"/>
        <w:rPr>
          <w:lang w:val="uk-UA"/>
        </w:rPr>
      </w:pPr>
    </w:p>
    <w:p w:rsidR="008974F0" w:rsidRPr="009A264B" w:rsidRDefault="008974F0" w:rsidP="002A3DDF">
      <w:pPr>
        <w:rPr>
          <w:lang w:val="uk-UA"/>
        </w:rPr>
      </w:pPr>
      <w:r w:rsidRPr="009A264B">
        <w:rPr>
          <w:lang w:val="uk-UA"/>
        </w:rPr>
        <w:t xml:space="preserve">2.1 Орендну плату за земельні ділянки, які використовуються на праві оренди але термін дії договору закінчився, справляти в двократному розмірі. </w:t>
      </w:r>
    </w:p>
    <w:p w:rsidR="008974F0" w:rsidRPr="009A264B" w:rsidRDefault="008974F0" w:rsidP="002A3DDF">
      <w:pPr>
        <w:jc w:val="both"/>
        <w:rPr>
          <w:lang w:val="uk-UA"/>
        </w:rPr>
      </w:pPr>
      <w:r w:rsidRPr="009A264B">
        <w:rPr>
          <w:lang w:val="uk-UA"/>
        </w:rPr>
        <w:t xml:space="preserve">2.2 У виняткових випадках затверджена орендна ставка може бути скоригована, але лише за рішенням ради. </w:t>
      </w:r>
    </w:p>
    <w:p w:rsidR="008974F0" w:rsidRPr="009A264B" w:rsidRDefault="008974F0" w:rsidP="002A3DDF">
      <w:pPr>
        <w:pStyle w:val="rvps2"/>
        <w:spacing w:before="0" w:beforeAutospacing="0" w:after="0" w:afterAutospacing="0" w:line="120" w:lineRule="auto"/>
        <w:jc w:val="both"/>
        <w:rPr>
          <w:b/>
          <w:lang w:val="uk-UA"/>
        </w:rPr>
      </w:pPr>
    </w:p>
    <w:p w:rsidR="008974F0" w:rsidRPr="009A264B" w:rsidRDefault="008974F0" w:rsidP="002A3DDF">
      <w:pPr>
        <w:jc w:val="both"/>
        <w:rPr>
          <w:color w:val="000000"/>
          <w:lang w:val="uk-UA"/>
        </w:rPr>
      </w:pPr>
      <w:r w:rsidRPr="009A264B">
        <w:rPr>
          <w:color w:val="000000"/>
          <w:lang w:val="uk-UA"/>
        </w:rPr>
        <w:t>3.  </w:t>
      </w:r>
      <w:r w:rsidRPr="009A264B">
        <w:rPr>
          <w:rStyle w:val="apple-converted-space"/>
          <w:color w:val="000000"/>
          <w:lang w:val="uk-UA"/>
        </w:rPr>
        <w:t> Встановити пільги</w:t>
      </w:r>
      <w:r w:rsidRPr="009A264B">
        <w:rPr>
          <w:color w:val="000000"/>
          <w:lang w:val="uk-UA"/>
        </w:rPr>
        <w:t xml:space="preserve"> щодо плати за землю для фізичних та юридичних осіб на території Сновської міської ради, звільнивши від плати за землю (земельний податок) в 2017 році:</w:t>
      </w:r>
    </w:p>
    <w:p w:rsidR="008974F0" w:rsidRPr="009A264B" w:rsidRDefault="008974F0" w:rsidP="002A3DDF">
      <w:pPr>
        <w:jc w:val="both"/>
        <w:rPr>
          <w:color w:val="000000"/>
          <w:lang w:val="uk-UA"/>
        </w:rPr>
      </w:pPr>
      <w:r w:rsidRPr="009A264B">
        <w:rPr>
          <w:color w:val="000000"/>
          <w:lang w:val="uk-UA"/>
        </w:rPr>
        <w:t>3.1 фізичних осіб відповідно до статті 281 Податкового кодексу;</w:t>
      </w:r>
    </w:p>
    <w:p w:rsidR="008974F0" w:rsidRPr="009A264B" w:rsidRDefault="008974F0" w:rsidP="002A3DDF">
      <w:pPr>
        <w:jc w:val="both"/>
        <w:rPr>
          <w:color w:val="000000"/>
          <w:lang w:val="uk-UA"/>
        </w:rPr>
      </w:pPr>
      <w:r w:rsidRPr="009A264B">
        <w:rPr>
          <w:color w:val="000000"/>
          <w:lang w:val="uk-UA"/>
        </w:rPr>
        <w:t>3.2 юридичних осіб відповідно до статті 282 Податкового кодексу, а також:</w:t>
      </w:r>
    </w:p>
    <w:p w:rsidR="008974F0" w:rsidRPr="009A264B" w:rsidRDefault="008974F0" w:rsidP="002A3DDF">
      <w:pPr>
        <w:jc w:val="both"/>
        <w:rPr>
          <w:color w:val="000000"/>
          <w:lang w:val="uk-UA"/>
        </w:rPr>
      </w:pPr>
      <w:r w:rsidRPr="009A264B">
        <w:rPr>
          <w:color w:val="000000"/>
          <w:lang w:val="uk-UA"/>
        </w:rPr>
        <w:t>3.2.1 органи державної влади та органи місцевого самоврядування, органи прокуратури, заклади, установи та організації, військові формування, утворені відповідно до Законів України, Збройні сили України та Державну прикордонну служба України, які повністю утримуються за рахунок коштів державного або місцевого бюджетів;</w:t>
      </w:r>
    </w:p>
    <w:p w:rsidR="008974F0" w:rsidRDefault="008974F0" w:rsidP="002A3DDF">
      <w:pPr>
        <w:jc w:val="both"/>
        <w:rPr>
          <w:color w:val="000000"/>
          <w:lang w:val="uk-UA"/>
        </w:rPr>
      </w:pPr>
      <w:r w:rsidRPr="009A264B">
        <w:rPr>
          <w:color w:val="000000"/>
          <w:lang w:val="uk-UA"/>
        </w:rPr>
        <w:t>3.2.3  комунальні підприємства (установи), організації, які підпорядковуються Сновській міській раді.</w:t>
      </w:r>
    </w:p>
    <w:p w:rsidR="008974F0" w:rsidRPr="009A264B" w:rsidRDefault="008974F0" w:rsidP="002A3DDF">
      <w:pPr>
        <w:jc w:val="both"/>
        <w:rPr>
          <w:color w:val="000000"/>
          <w:lang w:val="uk-UA"/>
        </w:rPr>
      </w:pPr>
    </w:p>
    <w:p w:rsidR="008974F0" w:rsidRDefault="008974F0" w:rsidP="002A3DDF">
      <w:pPr>
        <w:shd w:val="clear" w:color="auto" w:fill="FFFFFF"/>
        <w:jc w:val="both"/>
        <w:rPr>
          <w:color w:val="000000"/>
          <w:lang w:val="uk-UA"/>
        </w:rPr>
      </w:pPr>
      <w:r w:rsidRPr="009A264B">
        <w:rPr>
          <w:color w:val="000000"/>
          <w:lang w:val="uk-UA"/>
        </w:rPr>
        <w:t xml:space="preserve">4.  Визначити, що пільги щодо плати за землю для не вказаних в підпунктах 3.1-3.2 пункту 3 даного рішення категорій фізичних та юридичних осіб встановлюються шляхом прийняття сесією </w:t>
      </w:r>
      <w:r>
        <w:rPr>
          <w:color w:val="000000"/>
          <w:lang w:val="uk-UA"/>
        </w:rPr>
        <w:t>міської ради відповідних рішень.</w:t>
      </w:r>
    </w:p>
    <w:p w:rsidR="008974F0" w:rsidRPr="009A264B" w:rsidRDefault="008974F0" w:rsidP="002A3DDF">
      <w:pPr>
        <w:shd w:val="clear" w:color="auto" w:fill="FFFFFF"/>
        <w:jc w:val="both"/>
        <w:rPr>
          <w:color w:val="000000"/>
          <w:lang w:val="uk-UA"/>
        </w:rPr>
      </w:pPr>
    </w:p>
    <w:p w:rsidR="008974F0" w:rsidRPr="009A264B" w:rsidRDefault="008974F0" w:rsidP="002A3DDF">
      <w:pPr>
        <w:numPr>
          <w:ilvl w:val="0"/>
          <w:numId w:val="20"/>
        </w:numPr>
        <w:tabs>
          <w:tab w:val="clear" w:pos="720"/>
          <w:tab w:val="num" w:pos="360"/>
        </w:tabs>
        <w:ind w:left="0" w:firstLine="0"/>
        <w:jc w:val="both"/>
        <w:rPr>
          <w:lang w:val="uk-UA"/>
        </w:rPr>
      </w:pPr>
      <w:r w:rsidRPr="009A264B">
        <w:rPr>
          <w:lang w:val="uk-UA"/>
        </w:rPr>
        <w:t>Дане рішення набирає чинності з 1 квітня 2017 року.</w:t>
      </w:r>
    </w:p>
    <w:p w:rsidR="008974F0" w:rsidRPr="009A264B" w:rsidRDefault="008974F0" w:rsidP="002A3DDF">
      <w:pPr>
        <w:spacing w:line="120" w:lineRule="auto"/>
        <w:jc w:val="both"/>
        <w:rPr>
          <w:lang w:val="uk-UA"/>
        </w:rPr>
      </w:pPr>
    </w:p>
    <w:p w:rsidR="008974F0" w:rsidRPr="009A264B" w:rsidRDefault="008974F0" w:rsidP="002A3DDF">
      <w:pPr>
        <w:numPr>
          <w:ilvl w:val="0"/>
          <w:numId w:val="20"/>
        </w:numPr>
        <w:tabs>
          <w:tab w:val="clear" w:pos="720"/>
          <w:tab w:val="num" w:pos="360"/>
        </w:tabs>
        <w:ind w:left="0" w:firstLine="0"/>
        <w:jc w:val="both"/>
        <w:rPr>
          <w:lang w:val="uk-UA"/>
        </w:rPr>
      </w:pPr>
      <w:r w:rsidRPr="009A264B">
        <w:rPr>
          <w:lang w:val="uk-UA"/>
        </w:rPr>
        <w:t>Рішення сільських рад, які об’єдналися в об’єднану територіальну громаду Сновської міської ради, щодо встановлення ставок плати за землю на 2017 рік, вважати такими, що втратили чинність.</w:t>
      </w:r>
    </w:p>
    <w:p w:rsidR="008974F0" w:rsidRPr="009A264B" w:rsidRDefault="008974F0" w:rsidP="002A3DDF">
      <w:pPr>
        <w:spacing w:line="120" w:lineRule="auto"/>
        <w:jc w:val="both"/>
        <w:rPr>
          <w:lang w:val="uk-UA"/>
        </w:rPr>
      </w:pPr>
    </w:p>
    <w:p w:rsidR="008974F0" w:rsidRPr="009A264B" w:rsidRDefault="008974F0" w:rsidP="002A3DDF">
      <w:pPr>
        <w:numPr>
          <w:ilvl w:val="0"/>
          <w:numId w:val="20"/>
        </w:numPr>
        <w:tabs>
          <w:tab w:val="clear" w:pos="720"/>
          <w:tab w:val="num" w:pos="360"/>
        </w:tabs>
        <w:ind w:left="0" w:firstLine="0"/>
        <w:jc w:val="both"/>
        <w:rPr>
          <w:lang w:val="uk-UA"/>
        </w:rPr>
      </w:pPr>
      <w:r w:rsidRPr="009A264B">
        <w:rPr>
          <w:lang w:val="uk-UA"/>
        </w:rPr>
        <w:t>Рішення оприлюднити у засобах масової інформації, що забезпечить ознайомлення мешканців об’єднаної територіальної громади Сновської міської ради з платою за землю.</w:t>
      </w:r>
    </w:p>
    <w:p w:rsidR="008974F0" w:rsidRPr="009A264B" w:rsidRDefault="008974F0" w:rsidP="002A3DDF">
      <w:pPr>
        <w:spacing w:line="120" w:lineRule="auto"/>
        <w:jc w:val="both"/>
        <w:rPr>
          <w:lang w:val="uk-UA"/>
        </w:rPr>
      </w:pPr>
    </w:p>
    <w:p w:rsidR="008974F0" w:rsidRPr="009A264B" w:rsidRDefault="008974F0" w:rsidP="002A3DDF">
      <w:pPr>
        <w:numPr>
          <w:ilvl w:val="0"/>
          <w:numId w:val="20"/>
        </w:numPr>
        <w:tabs>
          <w:tab w:val="clear" w:pos="720"/>
          <w:tab w:val="num" w:pos="360"/>
        </w:tabs>
        <w:ind w:left="0" w:firstLine="0"/>
        <w:jc w:val="both"/>
        <w:rPr>
          <w:lang w:val="uk-UA"/>
        </w:rPr>
      </w:pPr>
      <w:r w:rsidRPr="009A264B">
        <w:rPr>
          <w:lang w:val="uk-UA"/>
        </w:rPr>
        <w:t xml:space="preserve">Контроль за виконанням цього рішення покласти на постійну комісію з питань </w:t>
      </w:r>
      <w:r w:rsidRPr="009A264B">
        <w:rPr>
          <w:rFonts w:ascii="Times New Roman CYR" w:hAnsi="Times New Roman CYR" w:cs="Times New Roman CYR"/>
          <w:lang w:val="uk-UA"/>
        </w:rPr>
        <w:t>містобудування, будівництва, земельних відносин та охорони природи та постійну комісію з питань планування, фінансів, бюджету та соціального-економічного розвитку.</w:t>
      </w:r>
    </w:p>
    <w:p w:rsidR="008974F0" w:rsidRPr="009A264B" w:rsidRDefault="008974F0" w:rsidP="002A3DDF">
      <w:pPr>
        <w:jc w:val="both"/>
        <w:rPr>
          <w:b/>
          <w:u w:val="single"/>
          <w:lang w:val="uk-UA"/>
        </w:rPr>
      </w:pPr>
    </w:p>
    <w:p w:rsidR="008974F0" w:rsidRPr="009A264B" w:rsidRDefault="008974F0" w:rsidP="002A3DDF">
      <w:pPr>
        <w:widowControl w:val="0"/>
        <w:autoSpaceDE w:val="0"/>
        <w:autoSpaceDN w:val="0"/>
        <w:adjustRightInd w:val="0"/>
        <w:jc w:val="center"/>
        <w:rPr>
          <w:b/>
          <w:sz w:val="26"/>
          <w:szCs w:val="26"/>
          <w:lang w:val="uk-UA"/>
        </w:rPr>
      </w:pPr>
    </w:p>
    <w:p w:rsidR="008974F0" w:rsidRPr="009A264B" w:rsidRDefault="008974F0" w:rsidP="00A8633D">
      <w:pPr>
        <w:jc w:val="both"/>
        <w:rPr>
          <w:lang w:val="uk-UA"/>
        </w:rPr>
      </w:pPr>
      <w:r w:rsidRPr="009A264B">
        <w:rPr>
          <w:lang w:val="uk-UA"/>
        </w:rPr>
        <w:t>Міський голова                                                                            О.О.Медведьов</w:t>
      </w:r>
    </w:p>
    <w:p w:rsidR="008974F0" w:rsidRPr="009A264B" w:rsidRDefault="008974F0" w:rsidP="00A8633D">
      <w:pPr>
        <w:ind w:firstLine="540"/>
        <w:jc w:val="both"/>
        <w:rPr>
          <w:sz w:val="28"/>
          <w:szCs w:val="28"/>
          <w:lang w:val="uk-UA"/>
        </w:rPr>
      </w:pPr>
    </w:p>
    <w:p w:rsidR="008974F0" w:rsidRPr="009A264B" w:rsidRDefault="008974F0" w:rsidP="00CB3B3C">
      <w:pPr>
        <w:jc w:val="both"/>
        <w:rPr>
          <w:sz w:val="28"/>
          <w:szCs w:val="28"/>
          <w:lang w:val="uk-UA"/>
        </w:rPr>
      </w:pPr>
    </w:p>
    <w:p w:rsidR="008974F0" w:rsidRPr="009A264B" w:rsidRDefault="008974F0" w:rsidP="008A260E">
      <w:pPr>
        <w:ind w:left="5103" w:firstLine="657"/>
        <w:jc w:val="center"/>
        <w:rPr>
          <w:sz w:val="28"/>
          <w:szCs w:val="28"/>
          <w:lang w:val="uk-UA"/>
        </w:rPr>
      </w:pPr>
    </w:p>
    <w:p w:rsidR="008974F0" w:rsidRPr="009A264B" w:rsidRDefault="008974F0" w:rsidP="008A260E">
      <w:pPr>
        <w:ind w:left="5103" w:firstLine="657"/>
        <w:jc w:val="center"/>
        <w:rPr>
          <w:sz w:val="28"/>
          <w:szCs w:val="28"/>
          <w:lang w:val="uk-UA"/>
        </w:rPr>
      </w:pPr>
    </w:p>
    <w:p w:rsidR="008974F0" w:rsidRPr="009A264B" w:rsidRDefault="008974F0" w:rsidP="008A260E">
      <w:pPr>
        <w:ind w:left="5103" w:firstLine="657"/>
        <w:jc w:val="center"/>
        <w:rPr>
          <w:lang w:val="uk-UA"/>
        </w:rPr>
      </w:pPr>
    </w:p>
    <w:sectPr w:rsidR="008974F0" w:rsidRPr="009A264B" w:rsidSect="00F372F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DC0FBF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C6E44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F1219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F74620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CEEE5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6CDD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4A7E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C409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2C8E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5E8C258"/>
    <w:lvl w:ilvl="0">
      <w:start w:val="1"/>
      <w:numFmt w:val="bullet"/>
      <w:lvlText w:val=""/>
      <w:lvlJc w:val="left"/>
      <w:pPr>
        <w:tabs>
          <w:tab w:val="num" w:pos="360"/>
        </w:tabs>
        <w:ind w:left="360" w:hanging="360"/>
      </w:pPr>
      <w:rPr>
        <w:rFonts w:ascii="Symbol" w:hAnsi="Symbol" w:hint="default"/>
      </w:rPr>
    </w:lvl>
  </w:abstractNum>
  <w:abstractNum w:abstractNumId="10">
    <w:nsid w:val="039F2D15"/>
    <w:multiLevelType w:val="hybridMultilevel"/>
    <w:tmpl w:val="445A806E"/>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25E6449"/>
    <w:multiLevelType w:val="hybridMultilevel"/>
    <w:tmpl w:val="182463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AEC1415"/>
    <w:multiLevelType w:val="hybridMultilevel"/>
    <w:tmpl w:val="07CEA6C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25155AAF"/>
    <w:multiLevelType w:val="hybridMultilevel"/>
    <w:tmpl w:val="147400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7B202F2"/>
    <w:multiLevelType w:val="hybridMultilevel"/>
    <w:tmpl w:val="6A7450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F7F5C93"/>
    <w:multiLevelType w:val="hybridMultilevel"/>
    <w:tmpl w:val="149E30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555229F"/>
    <w:multiLevelType w:val="hybridMultilevel"/>
    <w:tmpl w:val="986CD51C"/>
    <w:lvl w:ilvl="0" w:tplc="A9360A5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9110408"/>
    <w:multiLevelType w:val="hybridMultilevel"/>
    <w:tmpl w:val="905460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3C93A60"/>
    <w:multiLevelType w:val="hybridMultilevel"/>
    <w:tmpl w:val="AD4CB2FE"/>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6014EE3"/>
    <w:multiLevelType w:val="hybridMultilevel"/>
    <w:tmpl w:val="C59A4D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1"/>
  </w:num>
  <w:num w:numId="14">
    <w:abstractNumId w:val="14"/>
  </w:num>
  <w:num w:numId="15">
    <w:abstractNumId w:val="12"/>
  </w:num>
  <w:num w:numId="16">
    <w:abstractNumId w:val="1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7268"/>
    <w:rsid w:val="000148D2"/>
    <w:rsid w:val="0002345F"/>
    <w:rsid w:val="0002575C"/>
    <w:rsid w:val="00026429"/>
    <w:rsid w:val="00035D89"/>
    <w:rsid w:val="00037307"/>
    <w:rsid w:val="000860C9"/>
    <w:rsid w:val="000968E9"/>
    <w:rsid w:val="000A721B"/>
    <w:rsid w:val="000C29ED"/>
    <w:rsid w:val="000D5A5B"/>
    <w:rsid w:val="000F247B"/>
    <w:rsid w:val="00142309"/>
    <w:rsid w:val="0014514C"/>
    <w:rsid w:val="00146466"/>
    <w:rsid w:val="001675BA"/>
    <w:rsid w:val="00175274"/>
    <w:rsid w:val="00190012"/>
    <w:rsid w:val="00196B72"/>
    <w:rsid w:val="001B4D20"/>
    <w:rsid w:val="001C5595"/>
    <w:rsid w:val="00205352"/>
    <w:rsid w:val="002155FC"/>
    <w:rsid w:val="00236B10"/>
    <w:rsid w:val="002417B0"/>
    <w:rsid w:val="0024451D"/>
    <w:rsid w:val="00247F74"/>
    <w:rsid w:val="00254F59"/>
    <w:rsid w:val="002577AB"/>
    <w:rsid w:val="00272398"/>
    <w:rsid w:val="00287268"/>
    <w:rsid w:val="00290320"/>
    <w:rsid w:val="00292E69"/>
    <w:rsid w:val="002A3DDF"/>
    <w:rsid w:val="002B23EE"/>
    <w:rsid w:val="002B2E25"/>
    <w:rsid w:val="002C3D38"/>
    <w:rsid w:val="002E00F7"/>
    <w:rsid w:val="00303951"/>
    <w:rsid w:val="00320462"/>
    <w:rsid w:val="0034164C"/>
    <w:rsid w:val="00352CF4"/>
    <w:rsid w:val="00364F1D"/>
    <w:rsid w:val="0037517B"/>
    <w:rsid w:val="0038136A"/>
    <w:rsid w:val="00383613"/>
    <w:rsid w:val="003A5385"/>
    <w:rsid w:val="003C05BD"/>
    <w:rsid w:val="003C7E70"/>
    <w:rsid w:val="003D113A"/>
    <w:rsid w:val="003D72B9"/>
    <w:rsid w:val="003E560F"/>
    <w:rsid w:val="003F5B83"/>
    <w:rsid w:val="00402AD9"/>
    <w:rsid w:val="00411F4D"/>
    <w:rsid w:val="00412DCF"/>
    <w:rsid w:val="00417388"/>
    <w:rsid w:val="004321E2"/>
    <w:rsid w:val="00440AAF"/>
    <w:rsid w:val="0044739B"/>
    <w:rsid w:val="004533BE"/>
    <w:rsid w:val="00463220"/>
    <w:rsid w:val="00465CE8"/>
    <w:rsid w:val="00480809"/>
    <w:rsid w:val="004926CC"/>
    <w:rsid w:val="004F2809"/>
    <w:rsid w:val="004F3688"/>
    <w:rsid w:val="0050115A"/>
    <w:rsid w:val="00514CCF"/>
    <w:rsid w:val="00521021"/>
    <w:rsid w:val="0052719E"/>
    <w:rsid w:val="00540181"/>
    <w:rsid w:val="00546988"/>
    <w:rsid w:val="00562E9F"/>
    <w:rsid w:val="005648F0"/>
    <w:rsid w:val="0056522D"/>
    <w:rsid w:val="00574F12"/>
    <w:rsid w:val="005761F8"/>
    <w:rsid w:val="00584AE8"/>
    <w:rsid w:val="00591148"/>
    <w:rsid w:val="005C55C3"/>
    <w:rsid w:val="00603104"/>
    <w:rsid w:val="00607C30"/>
    <w:rsid w:val="00620E8C"/>
    <w:rsid w:val="006260E7"/>
    <w:rsid w:val="00647985"/>
    <w:rsid w:val="00657FEC"/>
    <w:rsid w:val="00661545"/>
    <w:rsid w:val="00694DEE"/>
    <w:rsid w:val="006B11D0"/>
    <w:rsid w:val="006B249D"/>
    <w:rsid w:val="006B75E3"/>
    <w:rsid w:val="006D3BBA"/>
    <w:rsid w:val="006D46E1"/>
    <w:rsid w:val="006F3AB1"/>
    <w:rsid w:val="006F7E16"/>
    <w:rsid w:val="00702DFF"/>
    <w:rsid w:val="007067DE"/>
    <w:rsid w:val="00733C24"/>
    <w:rsid w:val="007353FE"/>
    <w:rsid w:val="007463EB"/>
    <w:rsid w:val="00772DD0"/>
    <w:rsid w:val="0078076F"/>
    <w:rsid w:val="00792726"/>
    <w:rsid w:val="00794A91"/>
    <w:rsid w:val="007B12B8"/>
    <w:rsid w:val="007D75E3"/>
    <w:rsid w:val="007E486B"/>
    <w:rsid w:val="00815061"/>
    <w:rsid w:val="0083226D"/>
    <w:rsid w:val="008601E2"/>
    <w:rsid w:val="00866850"/>
    <w:rsid w:val="008974F0"/>
    <w:rsid w:val="00897D04"/>
    <w:rsid w:val="008A260E"/>
    <w:rsid w:val="008C19DF"/>
    <w:rsid w:val="008C30BE"/>
    <w:rsid w:val="008C4E04"/>
    <w:rsid w:val="008C7C34"/>
    <w:rsid w:val="008D69B4"/>
    <w:rsid w:val="008F1480"/>
    <w:rsid w:val="00904698"/>
    <w:rsid w:val="00905B1B"/>
    <w:rsid w:val="0091256D"/>
    <w:rsid w:val="00913CD1"/>
    <w:rsid w:val="00920D8C"/>
    <w:rsid w:val="00925434"/>
    <w:rsid w:val="00926CF6"/>
    <w:rsid w:val="0098766E"/>
    <w:rsid w:val="009A264B"/>
    <w:rsid w:val="009C00C1"/>
    <w:rsid w:val="009E4123"/>
    <w:rsid w:val="009F392B"/>
    <w:rsid w:val="009F5D99"/>
    <w:rsid w:val="00A00B9B"/>
    <w:rsid w:val="00A13B71"/>
    <w:rsid w:val="00A24C70"/>
    <w:rsid w:val="00A343C4"/>
    <w:rsid w:val="00A565EE"/>
    <w:rsid w:val="00A63C8F"/>
    <w:rsid w:val="00A67B97"/>
    <w:rsid w:val="00A71D7C"/>
    <w:rsid w:val="00A8116A"/>
    <w:rsid w:val="00A8633D"/>
    <w:rsid w:val="00A8640C"/>
    <w:rsid w:val="00A938C2"/>
    <w:rsid w:val="00AD5F7C"/>
    <w:rsid w:val="00AF4E7E"/>
    <w:rsid w:val="00B2534C"/>
    <w:rsid w:val="00B37419"/>
    <w:rsid w:val="00B46924"/>
    <w:rsid w:val="00B51306"/>
    <w:rsid w:val="00B53781"/>
    <w:rsid w:val="00B554C8"/>
    <w:rsid w:val="00B66316"/>
    <w:rsid w:val="00B75A0B"/>
    <w:rsid w:val="00BA4AAB"/>
    <w:rsid w:val="00BB28DB"/>
    <w:rsid w:val="00BC086E"/>
    <w:rsid w:val="00BE08F3"/>
    <w:rsid w:val="00BE19A6"/>
    <w:rsid w:val="00C003B6"/>
    <w:rsid w:val="00C171E9"/>
    <w:rsid w:val="00C50484"/>
    <w:rsid w:val="00C53F4B"/>
    <w:rsid w:val="00C55904"/>
    <w:rsid w:val="00C6126B"/>
    <w:rsid w:val="00C64EAD"/>
    <w:rsid w:val="00C66C2B"/>
    <w:rsid w:val="00CA04AE"/>
    <w:rsid w:val="00CA4F3B"/>
    <w:rsid w:val="00CB3B3C"/>
    <w:rsid w:val="00CC6A46"/>
    <w:rsid w:val="00CD041E"/>
    <w:rsid w:val="00CE5771"/>
    <w:rsid w:val="00CF2C5D"/>
    <w:rsid w:val="00D1016D"/>
    <w:rsid w:val="00D15E66"/>
    <w:rsid w:val="00D20697"/>
    <w:rsid w:val="00D2394D"/>
    <w:rsid w:val="00D23DA1"/>
    <w:rsid w:val="00D40860"/>
    <w:rsid w:val="00D450F7"/>
    <w:rsid w:val="00D5480A"/>
    <w:rsid w:val="00D612D3"/>
    <w:rsid w:val="00D75051"/>
    <w:rsid w:val="00D760B1"/>
    <w:rsid w:val="00D90EC6"/>
    <w:rsid w:val="00DA5426"/>
    <w:rsid w:val="00DA6ECB"/>
    <w:rsid w:val="00DB37C0"/>
    <w:rsid w:val="00DB52EB"/>
    <w:rsid w:val="00DB6C6E"/>
    <w:rsid w:val="00DC2E5D"/>
    <w:rsid w:val="00DD401F"/>
    <w:rsid w:val="00DD5E6A"/>
    <w:rsid w:val="00DE338B"/>
    <w:rsid w:val="00DE7E2F"/>
    <w:rsid w:val="00E01403"/>
    <w:rsid w:val="00E07AAD"/>
    <w:rsid w:val="00E13548"/>
    <w:rsid w:val="00E16118"/>
    <w:rsid w:val="00E339B1"/>
    <w:rsid w:val="00E34616"/>
    <w:rsid w:val="00E50D7A"/>
    <w:rsid w:val="00E568B1"/>
    <w:rsid w:val="00E623E3"/>
    <w:rsid w:val="00E75264"/>
    <w:rsid w:val="00E922FA"/>
    <w:rsid w:val="00E93A53"/>
    <w:rsid w:val="00EB2D9F"/>
    <w:rsid w:val="00EB52CB"/>
    <w:rsid w:val="00EC46E9"/>
    <w:rsid w:val="00EE64FB"/>
    <w:rsid w:val="00EF798D"/>
    <w:rsid w:val="00F126E4"/>
    <w:rsid w:val="00F271A0"/>
    <w:rsid w:val="00F2762C"/>
    <w:rsid w:val="00F319FE"/>
    <w:rsid w:val="00F350EF"/>
    <w:rsid w:val="00F372FC"/>
    <w:rsid w:val="00F458D3"/>
    <w:rsid w:val="00F77B7A"/>
    <w:rsid w:val="00F8379C"/>
    <w:rsid w:val="00FA56FC"/>
    <w:rsid w:val="00FB0598"/>
    <w:rsid w:val="00FC6CCB"/>
    <w:rsid w:val="00FE1AF9"/>
    <w:rsid w:val="00FF4CC8"/>
    <w:rsid w:val="00FF75B9"/>
    <w:rsid w:val="00FF7B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72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63220"/>
    <w:pPr>
      <w:spacing w:before="100" w:beforeAutospacing="1" w:after="100" w:afterAutospacing="1"/>
    </w:pPr>
  </w:style>
  <w:style w:type="paragraph" w:styleId="BalloonText">
    <w:name w:val="Balloon Text"/>
    <w:basedOn w:val="Normal"/>
    <w:link w:val="BalloonTextChar"/>
    <w:uiPriority w:val="99"/>
    <w:semiHidden/>
    <w:rsid w:val="00FF4C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3C8F"/>
    <w:rPr>
      <w:rFonts w:ascii="Times New Roman" w:hAnsi="Times New Roman" w:cs="Times New Roman"/>
      <w:sz w:val="2"/>
    </w:rPr>
  </w:style>
  <w:style w:type="character" w:customStyle="1" w:styleId="apple-converted-space">
    <w:name w:val="apple-converted-space"/>
    <w:basedOn w:val="DefaultParagraphFont"/>
    <w:uiPriority w:val="99"/>
    <w:rsid w:val="00417388"/>
    <w:rPr>
      <w:rFonts w:cs="Times New Roman"/>
    </w:rPr>
  </w:style>
  <w:style w:type="character" w:styleId="Hyperlink">
    <w:name w:val="Hyperlink"/>
    <w:basedOn w:val="DefaultParagraphFont"/>
    <w:uiPriority w:val="99"/>
    <w:rsid w:val="00417388"/>
    <w:rPr>
      <w:rFonts w:cs="Times New Roman"/>
      <w:color w:val="0000FF"/>
      <w:u w:val="single"/>
    </w:rPr>
  </w:style>
  <w:style w:type="paragraph" w:styleId="BodyTextIndent">
    <w:name w:val="Body Text Indent"/>
    <w:basedOn w:val="Normal"/>
    <w:link w:val="BodyTextIndentChar1"/>
    <w:uiPriority w:val="99"/>
    <w:rsid w:val="00702DFF"/>
    <w:pPr>
      <w:spacing w:after="120"/>
      <w:ind w:left="283"/>
    </w:pPr>
    <w:rPr>
      <w:rFonts w:eastAsia="Batang"/>
      <w:sz w:val="20"/>
      <w:szCs w:val="20"/>
      <w:lang w:val="uk-UA"/>
    </w:rPr>
  </w:style>
  <w:style w:type="character" w:customStyle="1" w:styleId="BodyTextIndentChar">
    <w:name w:val="Body Text Indent Char"/>
    <w:basedOn w:val="DefaultParagraphFont"/>
    <w:link w:val="BodyTextIndent"/>
    <w:uiPriority w:val="99"/>
    <w:semiHidden/>
    <w:locked/>
    <w:rsid w:val="00920D8C"/>
    <w:rPr>
      <w:rFonts w:ascii="Times New Roman" w:hAnsi="Times New Roman" w:cs="Times New Roman"/>
      <w:sz w:val="24"/>
      <w:szCs w:val="24"/>
    </w:rPr>
  </w:style>
  <w:style w:type="character" w:customStyle="1" w:styleId="BodyTextIndentChar1">
    <w:name w:val="Body Text Indent Char1"/>
    <w:basedOn w:val="DefaultParagraphFont"/>
    <w:link w:val="BodyTextIndent"/>
    <w:uiPriority w:val="99"/>
    <w:locked/>
    <w:rsid w:val="00702DFF"/>
    <w:rPr>
      <w:rFonts w:eastAsia="Batang" w:cs="Times New Roman"/>
      <w:lang w:val="uk-UA" w:eastAsia="ru-RU" w:bidi="ar-SA"/>
    </w:rPr>
  </w:style>
  <w:style w:type="table" w:styleId="TableGrid">
    <w:name w:val="Table Grid"/>
    <w:basedOn w:val="TableNormal"/>
    <w:uiPriority w:val="99"/>
    <w:locked/>
    <w:rsid w:val="0038361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Абзац списка"/>
    <w:basedOn w:val="Normal"/>
    <w:uiPriority w:val="99"/>
    <w:rsid w:val="00DB6C6E"/>
    <w:pPr>
      <w:spacing w:after="200" w:line="276" w:lineRule="auto"/>
      <w:ind w:left="720"/>
      <w:contextualSpacing/>
    </w:pPr>
    <w:rPr>
      <w:sz w:val="28"/>
      <w:szCs w:val="28"/>
      <w:lang w:val="uk-UA" w:eastAsia="en-US"/>
    </w:rPr>
  </w:style>
  <w:style w:type="paragraph" w:styleId="NoSpacing">
    <w:name w:val="No Spacing"/>
    <w:uiPriority w:val="99"/>
    <w:qFormat/>
    <w:rsid w:val="00E75264"/>
    <w:rPr>
      <w:lang w:eastAsia="en-US"/>
    </w:rPr>
  </w:style>
  <w:style w:type="paragraph" w:styleId="BodyText">
    <w:name w:val="Body Text"/>
    <w:basedOn w:val="Normal"/>
    <w:link w:val="BodyTextChar"/>
    <w:uiPriority w:val="99"/>
    <w:rsid w:val="002A3DDF"/>
    <w:pPr>
      <w:spacing w:after="120"/>
    </w:pPr>
  </w:style>
  <w:style w:type="character" w:customStyle="1" w:styleId="BodyTextChar">
    <w:name w:val="Body Text Char"/>
    <w:basedOn w:val="DefaultParagraphFont"/>
    <w:link w:val="BodyText"/>
    <w:uiPriority w:val="99"/>
    <w:semiHidden/>
    <w:rsid w:val="009F61A1"/>
    <w:rPr>
      <w:rFonts w:ascii="Times New Roman" w:eastAsia="Times New Roman" w:hAnsi="Times New Roman"/>
      <w:sz w:val="24"/>
      <w:szCs w:val="24"/>
    </w:rPr>
  </w:style>
  <w:style w:type="paragraph" w:customStyle="1" w:styleId="rvps2">
    <w:name w:val="rvps2"/>
    <w:basedOn w:val="Normal"/>
    <w:uiPriority w:val="99"/>
    <w:rsid w:val="002A3DDF"/>
    <w:pPr>
      <w:spacing w:before="100" w:beforeAutospacing="1" w:after="100" w:afterAutospacing="1"/>
    </w:pPr>
    <w:rPr>
      <w:rFonts w:eastAsia="Calibri"/>
    </w:rPr>
  </w:style>
  <w:style w:type="paragraph" w:customStyle="1" w:styleId="tjbmf">
    <w:name w:val="tj bmf"/>
    <w:basedOn w:val="Normal"/>
    <w:link w:val="tjbmf0"/>
    <w:uiPriority w:val="99"/>
    <w:rsid w:val="002A3DDF"/>
    <w:pPr>
      <w:spacing w:before="100" w:beforeAutospacing="1" w:after="100" w:afterAutospacing="1"/>
    </w:pPr>
    <w:rPr>
      <w:rFonts w:eastAsia="Calibri"/>
      <w:lang w:val="uk-UA" w:eastAsia="uk-UA"/>
    </w:rPr>
  </w:style>
  <w:style w:type="character" w:customStyle="1" w:styleId="tjbmf0">
    <w:name w:val="tj bmf Знак"/>
    <w:basedOn w:val="DefaultParagraphFont"/>
    <w:link w:val="tjbmf"/>
    <w:uiPriority w:val="99"/>
    <w:locked/>
    <w:rsid w:val="002A3DDF"/>
    <w:rPr>
      <w:rFonts w:cs="Times New Roman"/>
      <w:sz w:val="24"/>
      <w:szCs w:val="24"/>
      <w:lang w:val="uk-UA" w:eastAsia="uk-UA" w:bidi="ar-SA"/>
    </w:rPr>
  </w:style>
</w:styles>
</file>

<file path=word/webSettings.xml><?xml version="1.0" encoding="utf-8"?>
<w:webSettings xmlns:r="http://schemas.openxmlformats.org/officeDocument/2006/relationships" xmlns:w="http://schemas.openxmlformats.org/wordprocessingml/2006/main">
  <w:divs>
    <w:div w:id="744953301">
      <w:marLeft w:val="0"/>
      <w:marRight w:val="0"/>
      <w:marTop w:val="0"/>
      <w:marBottom w:val="0"/>
      <w:divBdr>
        <w:top w:val="none" w:sz="0" w:space="0" w:color="auto"/>
        <w:left w:val="none" w:sz="0" w:space="0" w:color="auto"/>
        <w:bottom w:val="none" w:sz="0" w:space="0" w:color="auto"/>
        <w:right w:val="none" w:sz="0" w:space="0" w:color="auto"/>
      </w:divBdr>
    </w:div>
    <w:div w:id="744953302">
      <w:marLeft w:val="0"/>
      <w:marRight w:val="0"/>
      <w:marTop w:val="0"/>
      <w:marBottom w:val="0"/>
      <w:divBdr>
        <w:top w:val="none" w:sz="0" w:space="0" w:color="auto"/>
        <w:left w:val="none" w:sz="0" w:space="0" w:color="auto"/>
        <w:bottom w:val="none" w:sz="0" w:space="0" w:color="auto"/>
        <w:right w:val="none" w:sz="0" w:space="0" w:color="auto"/>
      </w:divBdr>
    </w:div>
    <w:div w:id="744953303">
      <w:marLeft w:val="0"/>
      <w:marRight w:val="0"/>
      <w:marTop w:val="0"/>
      <w:marBottom w:val="0"/>
      <w:divBdr>
        <w:top w:val="none" w:sz="0" w:space="0" w:color="auto"/>
        <w:left w:val="none" w:sz="0" w:space="0" w:color="auto"/>
        <w:bottom w:val="none" w:sz="0" w:space="0" w:color="auto"/>
        <w:right w:val="none" w:sz="0" w:space="0" w:color="auto"/>
      </w:divBdr>
    </w:div>
    <w:div w:id="744953304">
      <w:marLeft w:val="0"/>
      <w:marRight w:val="0"/>
      <w:marTop w:val="0"/>
      <w:marBottom w:val="0"/>
      <w:divBdr>
        <w:top w:val="none" w:sz="0" w:space="0" w:color="auto"/>
        <w:left w:val="none" w:sz="0" w:space="0" w:color="auto"/>
        <w:bottom w:val="none" w:sz="0" w:space="0" w:color="auto"/>
        <w:right w:val="none" w:sz="0" w:space="0" w:color="auto"/>
      </w:divBdr>
    </w:div>
    <w:div w:id="744953305">
      <w:marLeft w:val="0"/>
      <w:marRight w:val="0"/>
      <w:marTop w:val="0"/>
      <w:marBottom w:val="0"/>
      <w:divBdr>
        <w:top w:val="none" w:sz="0" w:space="0" w:color="auto"/>
        <w:left w:val="none" w:sz="0" w:space="0" w:color="auto"/>
        <w:bottom w:val="none" w:sz="0" w:space="0" w:color="auto"/>
        <w:right w:val="none" w:sz="0" w:space="0" w:color="auto"/>
      </w:divBdr>
    </w:div>
    <w:div w:id="744953306">
      <w:marLeft w:val="0"/>
      <w:marRight w:val="0"/>
      <w:marTop w:val="0"/>
      <w:marBottom w:val="0"/>
      <w:divBdr>
        <w:top w:val="none" w:sz="0" w:space="0" w:color="auto"/>
        <w:left w:val="none" w:sz="0" w:space="0" w:color="auto"/>
        <w:bottom w:val="none" w:sz="0" w:space="0" w:color="auto"/>
        <w:right w:val="none" w:sz="0" w:space="0" w:color="auto"/>
      </w:divBdr>
    </w:div>
    <w:div w:id="744953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3</Pages>
  <Words>1051</Words>
  <Characters>5997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Валентина</cp:lastModifiedBy>
  <cp:revision>4</cp:revision>
  <cp:lastPrinted>2017-03-21T14:33:00Z</cp:lastPrinted>
  <dcterms:created xsi:type="dcterms:W3CDTF">2017-03-21T14:05:00Z</dcterms:created>
  <dcterms:modified xsi:type="dcterms:W3CDTF">2017-03-21T14:33:00Z</dcterms:modified>
</cp:coreProperties>
</file>